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B50CC">
      <w:pPr>
        <w:keepNext w:val="0"/>
        <w:keepLines w:val="0"/>
        <w:pageBreakBefore w:val="0"/>
        <w:widowControl w:val="0"/>
        <w:kinsoku/>
        <w:wordWrap/>
        <w:overflowPunct/>
        <w:topLinePunct w:val="0"/>
        <w:autoSpaceDE/>
        <w:autoSpaceDN/>
        <w:bidi w:val="0"/>
        <w:adjustRightInd/>
        <w:snapToGrid/>
        <w:spacing w:line="6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县人民政府关于秭归县2024年财政决算及</w:t>
      </w:r>
    </w:p>
    <w:p w14:paraId="2396D5B7">
      <w:pPr>
        <w:keepNext w:val="0"/>
        <w:keepLines w:val="0"/>
        <w:pageBreakBefore w:val="0"/>
        <w:widowControl w:val="0"/>
        <w:kinsoku/>
        <w:wordWrap/>
        <w:overflowPunct/>
        <w:topLinePunct w:val="0"/>
        <w:autoSpaceDE/>
        <w:autoSpaceDN/>
        <w:bidi w:val="0"/>
        <w:adjustRightInd/>
        <w:snapToGrid/>
        <w:spacing w:line="6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2025年上半年财政预算执行情况的报告</w:t>
      </w:r>
    </w:p>
    <w:p w14:paraId="12FAD0C0">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楷体_GB2312" w:hAnsi="楷体_GB2312" w:eastAsia="楷体_GB2312" w:cs="楷体_GB2312"/>
          <w:color w:val="auto"/>
          <w:sz w:val="30"/>
          <w:szCs w:val="30"/>
        </w:rPr>
      </w:pPr>
    </w:p>
    <w:p w14:paraId="56427BD2">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楷体_GB2312" w:hAnsi="仿宋_GB2312" w:eastAsia="楷体_GB2312" w:cs="仿宋_GB2312"/>
          <w:color w:val="auto"/>
          <w:sz w:val="28"/>
          <w:szCs w:val="28"/>
          <w:lang w:eastAsia="zh-CN"/>
        </w:rPr>
      </w:pPr>
      <w:r>
        <w:rPr>
          <w:rFonts w:hint="eastAsia" w:ascii="楷体_GB2312" w:hAnsi="楷体_GB2312" w:eastAsia="楷体_GB2312" w:cs="楷体_GB2312"/>
          <w:color w:val="auto"/>
          <w:sz w:val="30"/>
          <w:szCs w:val="30"/>
        </w:rPr>
        <w:t>——</w:t>
      </w:r>
      <w:r>
        <w:rPr>
          <w:rFonts w:hint="eastAsia" w:ascii="楷体_GB2312" w:hAnsi="仿宋_GB2312" w:eastAsia="楷体_GB2312" w:cs="仿宋_GB2312"/>
          <w:color w:val="auto"/>
          <w:sz w:val="28"/>
          <w:szCs w:val="28"/>
        </w:rPr>
        <w:t>202</w:t>
      </w:r>
      <w:r>
        <w:rPr>
          <w:rFonts w:hint="eastAsia" w:ascii="楷体_GB2312" w:hAnsi="仿宋_GB2312" w:eastAsia="楷体_GB2312" w:cs="仿宋_GB2312"/>
          <w:color w:val="auto"/>
          <w:sz w:val="28"/>
          <w:szCs w:val="28"/>
          <w:lang w:val="en-US" w:eastAsia="zh-CN"/>
        </w:rPr>
        <w:t>5</w:t>
      </w:r>
      <w:r>
        <w:rPr>
          <w:rFonts w:hint="eastAsia" w:ascii="楷体_GB2312" w:hAnsi="仿宋_GB2312" w:eastAsia="楷体_GB2312" w:cs="仿宋_GB2312"/>
          <w:color w:val="auto"/>
          <w:sz w:val="28"/>
          <w:szCs w:val="28"/>
        </w:rPr>
        <w:t>年8月</w:t>
      </w:r>
      <w:r>
        <w:rPr>
          <w:rFonts w:hint="eastAsia" w:ascii="楷体_GB2312" w:hAnsi="仿宋_GB2312" w:eastAsia="楷体_GB2312" w:cs="仿宋_GB2312"/>
          <w:color w:val="auto"/>
          <w:sz w:val="28"/>
          <w:szCs w:val="28"/>
          <w:lang w:val="en-US" w:eastAsia="zh-CN"/>
        </w:rPr>
        <w:t>29</w:t>
      </w:r>
      <w:r>
        <w:rPr>
          <w:rFonts w:hint="eastAsia" w:ascii="楷体_GB2312" w:hAnsi="仿宋_GB2312" w:eastAsia="楷体_GB2312" w:cs="仿宋_GB2312"/>
          <w:color w:val="auto"/>
          <w:sz w:val="28"/>
          <w:szCs w:val="28"/>
        </w:rPr>
        <w:t>日在秭归县第十九届</w:t>
      </w:r>
      <w:r>
        <w:rPr>
          <w:rFonts w:hint="eastAsia" w:ascii="楷体_GB2312" w:hAnsi="仿宋_GB2312" w:eastAsia="楷体_GB2312" w:cs="仿宋_GB2312"/>
          <w:color w:val="auto"/>
          <w:sz w:val="28"/>
          <w:szCs w:val="28"/>
          <w:lang w:eastAsia="zh-CN"/>
        </w:rPr>
        <w:t>人民代表大会常务委员会</w:t>
      </w:r>
    </w:p>
    <w:p w14:paraId="16E0CB95">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楷体_GB2312" w:hAnsi="仿宋_GB2312" w:eastAsia="楷体_GB2312" w:cs="仿宋_GB2312"/>
          <w:color w:val="auto"/>
          <w:sz w:val="28"/>
          <w:szCs w:val="28"/>
        </w:rPr>
      </w:pPr>
      <w:r>
        <w:rPr>
          <w:rFonts w:hint="eastAsia" w:ascii="楷体_GB2312" w:hAnsi="仿宋_GB2312" w:eastAsia="楷体_GB2312" w:cs="仿宋_GB2312"/>
          <w:color w:val="auto"/>
          <w:sz w:val="28"/>
          <w:szCs w:val="28"/>
        </w:rPr>
        <w:t>第</w:t>
      </w:r>
      <w:r>
        <w:rPr>
          <w:rFonts w:hint="eastAsia" w:ascii="楷体_GB2312" w:hAnsi="仿宋_GB2312" w:eastAsia="楷体_GB2312" w:cs="仿宋_GB2312"/>
          <w:color w:val="auto"/>
          <w:sz w:val="28"/>
          <w:szCs w:val="28"/>
          <w:lang w:eastAsia="zh-CN"/>
        </w:rPr>
        <w:t>二十八</w:t>
      </w:r>
      <w:r>
        <w:rPr>
          <w:rFonts w:hint="eastAsia" w:ascii="楷体_GB2312" w:hAnsi="仿宋_GB2312" w:eastAsia="楷体_GB2312" w:cs="仿宋_GB2312"/>
          <w:color w:val="auto"/>
          <w:sz w:val="28"/>
          <w:szCs w:val="28"/>
        </w:rPr>
        <w:t>次会议上</w:t>
      </w:r>
    </w:p>
    <w:p w14:paraId="0CE123C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imes New Roman" w:hAnsi="Times New Roman" w:eastAsia="楷体_GB2312" w:cs="Times New Roman"/>
          <w:color w:val="auto"/>
          <w:w w:val="95"/>
          <w:kern w:val="0"/>
          <w:sz w:val="32"/>
          <w:szCs w:val="32"/>
          <w:lang w:eastAsia="zh-CN"/>
        </w:rPr>
      </w:pPr>
    </w:p>
    <w:p w14:paraId="74C9133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imes New Roman" w:hAnsi="Times New Roman" w:eastAsia="楷体_GB2312" w:cs="Times New Roman"/>
          <w:color w:val="auto"/>
          <w:w w:val="95"/>
          <w:kern w:val="0"/>
          <w:sz w:val="32"/>
          <w:szCs w:val="32"/>
          <w:lang w:eastAsia="zh-CN"/>
        </w:rPr>
      </w:pPr>
      <w:r>
        <w:rPr>
          <w:rFonts w:ascii="Times New Roman" w:hAnsi="Times New Roman" w:eastAsia="楷体_GB2312" w:cs="Times New Roman"/>
          <w:color w:val="auto"/>
          <w:w w:val="95"/>
          <w:kern w:val="0"/>
          <w:sz w:val="32"/>
          <w:szCs w:val="32"/>
        </w:rPr>
        <w:t xml:space="preserve">县财政局局长  </w:t>
      </w:r>
      <w:r>
        <w:rPr>
          <w:rFonts w:hint="eastAsia" w:ascii="Times New Roman" w:hAnsi="Times New Roman" w:eastAsia="楷体_GB2312" w:cs="Times New Roman"/>
          <w:color w:val="auto"/>
          <w:w w:val="95"/>
          <w:kern w:val="0"/>
          <w:sz w:val="32"/>
          <w:szCs w:val="32"/>
          <w:lang w:eastAsia="zh-CN"/>
        </w:rPr>
        <w:t>邓明康</w:t>
      </w:r>
    </w:p>
    <w:p w14:paraId="1E15A5B7">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ascii="Times New Roman" w:hAnsi="Times New Roman" w:eastAsia="方正小标宋简体" w:cs="方正小标宋简体"/>
          <w:color w:val="auto"/>
          <w:sz w:val="32"/>
          <w:szCs w:val="32"/>
        </w:rPr>
      </w:pPr>
    </w:p>
    <w:p w14:paraId="7F048E6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主任、各位副主任、各位委员</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 xml:space="preserve"> </w:t>
      </w:r>
    </w:p>
    <w:p w14:paraId="609F51F3">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受县人民政府委托，</w:t>
      </w:r>
      <w:r>
        <w:rPr>
          <w:rFonts w:hint="eastAsia" w:ascii="仿宋_GB2312" w:hAnsi="仿宋_GB2312" w:eastAsia="仿宋_GB2312" w:cs="仿宋_GB2312"/>
          <w:color w:val="auto"/>
          <w:sz w:val="32"/>
          <w:szCs w:val="32"/>
          <w:lang w:val="en-US" w:eastAsia="zh-CN"/>
        </w:rPr>
        <w:t>现将2024</w:t>
      </w:r>
      <w:r>
        <w:rPr>
          <w:rFonts w:hint="eastAsia" w:ascii="仿宋_GB2312" w:hAnsi="仿宋_GB2312" w:eastAsia="仿宋_GB2312" w:cs="仿宋_GB2312"/>
          <w:color w:val="auto"/>
          <w:sz w:val="32"/>
          <w:szCs w:val="32"/>
        </w:rPr>
        <w:t>年财政决算</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lang w:val="en-US" w:eastAsia="zh-CN"/>
        </w:rPr>
        <w:t>2025</w:t>
      </w:r>
      <w:r>
        <w:rPr>
          <w:rFonts w:hint="eastAsia" w:ascii="仿宋_GB2312" w:hAnsi="仿宋_GB2312" w:eastAsia="仿宋_GB2312" w:cs="仿宋_GB2312"/>
          <w:color w:val="auto"/>
          <w:sz w:val="32"/>
          <w:szCs w:val="32"/>
        </w:rPr>
        <w:t>年上半年财政预算执行情况报告</w:t>
      </w:r>
      <w:r>
        <w:rPr>
          <w:rFonts w:hint="eastAsia" w:ascii="仿宋_GB2312" w:hAnsi="仿宋_GB2312" w:eastAsia="仿宋_GB2312" w:cs="仿宋_GB2312"/>
          <w:color w:val="auto"/>
          <w:sz w:val="32"/>
          <w:szCs w:val="32"/>
          <w:lang w:eastAsia="zh-CN"/>
        </w:rPr>
        <w:t>如下</w:t>
      </w:r>
      <w:r>
        <w:rPr>
          <w:rFonts w:hint="eastAsia" w:ascii="仿宋_GB2312" w:hAnsi="仿宋_GB2312" w:eastAsia="仿宋_GB2312" w:cs="仿宋_GB2312"/>
          <w:color w:val="auto"/>
          <w:sz w:val="32"/>
          <w:szCs w:val="32"/>
        </w:rPr>
        <w:t>，请予审议</w:t>
      </w:r>
      <w:r>
        <w:rPr>
          <w:rFonts w:hint="eastAsia" w:ascii="仿宋_GB2312" w:hAnsi="仿宋_GB2312" w:eastAsia="仿宋_GB2312" w:cs="仿宋_GB2312"/>
          <w:color w:val="auto"/>
          <w:sz w:val="32"/>
          <w:szCs w:val="32"/>
          <w:lang w:eastAsia="zh-CN"/>
        </w:rPr>
        <w:t>。</w:t>
      </w:r>
    </w:p>
    <w:p w14:paraId="30B33651">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ascii="Times New Roman" w:hAnsi="Times New Roman" w:eastAsia="黑体"/>
          <w:color w:val="auto"/>
          <w:spacing w:val="8"/>
          <w:kern w:val="0"/>
          <w:sz w:val="32"/>
          <w:szCs w:val="32"/>
        </w:rPr>
      </w:pPr>
      <w:r>
        <w:rPr>
          <w:rFonts w:hint="eastAsia" w:ascii="Times New Roman" w:hAnsi="Times New Roman" w:eastAsia="黑体"/>
          <w:color w:val="auto"/>
          <w:sz w:val="32"/>
          <w:szCs w:val="32"/>
        </w:rPr>
        <w:t>一、20</w:t>
      </w:r>
      <w:r>
        <w:rPr>
          <w:rFonts w:hint="eastAsia" w:ascii="Times New Roman" w:hAnsi="Times New Roman" w:eastAsia="黑体"/>
          <w:color w:val="auto"/>
          <w:sz w:val="32"/>
          <w:szCs w:val="32"/>
          <w:lang w:val="en-US" w:eastAsia="zh-CN"/>
        </w:rPr>
        <w:t>24</w:t>
      </w:r>
      <w:r>
        <w:rPr>
          <w:rFonts w:hint="eastAsia" w:ascii="Times New Roman" w:hAnsi="Times New Roman" w:eastAsia="黑体"/>
          <w:color w:val="auto"/>
          <w:sz w:val="32"/>
          <w:szCs w:val="32"/>
        </w:rPr>
        <w:t>年财政决算情况</w:t>
      </w:r>
    </w:p>
    <w:p w14:paraId="2C5E9F68">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olor w:val="auto"/>
          <w:sz w:val="32"/>
          <w:szCs w:val="32"/>
          <w:lang w:eastAsia="zh-CN"/>
        </w:rPr>
      </w:pPr>
      <w:r>
        <w:rPr>
          <w:rFonts w:hint="eastAsia" w:ascii="Times New Roman" w:hAnsi="Times New Roman" w:eastAsia="楷体_GB2312"/>
          <w:color w:val="auto"/>
          <w:kern w:val="0"/>
          <w:sz w:val="32"/>
          <w:szCs w:val="32"/>
        </w:rPr>
        <w:t>（一）一般公共预算</w:t>
      </w:r>
      <w:r>
        <w:rPr>
          <w:rFonts w:hint="eastAsia" w:ascii="Times New Roman" w:hAnsi="Times New Roman" w:eastAsia="楷体_GB2312"/>
          <w:color w:val="auto"/>
          <w:kern w:val="0"/>
          <w:sz w:val="32"/>
          <w:szCs w:val="32"/>
          <w:lang w:eastAsia="zh-CN"/>
        </w:rPr>
        <w:t>收支</w:t>
      </w:r>
      <w:r>
        <w:rPr>
          <w:rFonts w:hint="eastAsia" w:ascii="Times New Roman" w:hAnsi="Times New Roman" w:eastAsia="楷体_GB2312"/>
          <w:color w:val="auto"/>
          <w:kern w:val="0"/>
          <w:sz w:val="32"/>
          <w:szCs w:val="32"/>
        </w:rPr>
        <w:t>决算情况</w:t>
      </w:r>
    </w:p>
    <w:p w14:paraId="7BC0B01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全县一般公共预算收入总量</w:t>
      </w:r>
      <w:r>
        <w:rPr>
          <w:rFonts w:hint="eastAsia" w:ascii="仿宋_GB2312" w:hAnsi="仿宋_GB2312" w:eastAsia="仿宋_GB2312" w:cs="仿宋_GB2312"/>
          <w:color w:val="auto"/>
          <w:sz w:val="32"/>
          <w:szCs w:val="32"/>
          <w:lang w:val="en-US" w:eastAsia="zh-CN"/>
        </w:rPr>
        <w:t>474859</w:t>
      </w:r>
      <w:r>
        <w:rPr>
          <w:rFonts w:hint="eastAsia" w:ascii="仿宋_GB2312" w:hAnsi="仿宋_GB2312" w:eastAsia="仿宋_GB2312" w:cs="仿宋_GB2312"/>
          <w:color w:val="auto"/>
          <w:sz w:val="32"/>
          <w:szCs w:val="32"/>
        </w:rPr>
        <w:t>万元，比年初人代会报告的</w:t>
      </w:r>
      <w:r>
        <w:rPr>
          <w:rFonts w:hint="eastAsia" w:ascii="仿宋_GB2312" w:hAnsi="仿宋_GB2312" w:eastAsia="仿宋_GB2312" w:cs="仿宋_GB2312"/>
          <w:color w:val="auto"/>
          <w:sz w:val="32"/>
          <w:szCs w:val="32"/>
          <w:lang w:eastAsia="zh-CN"/>
        </w:rPr>
        <w:t>执行数减少</w:t>
      </w:r>
      <w:r>
        <w:rPr>
          <w:rFonts w:hint="eastAsia" w:ascii="仿宋_GB2312" w:hAnsi="仿宋_GB2312" w:eastAsia="仿宋_GB2312" w:cs="仿宋_GB2312"/>
          <w:color w:val="auto"/>
          <w:sz w:val="32"/>
          <w:szCs w:val="32"/>
          <w:lang w:val="en-US" w:eastAsia="zh-CN"/>
        </w:rPr>
        <w:t>12154</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val="en-US" w:eastAsia="zh-CN"/>
        </w:rPr>
        <w:t>主要是体制结算后转移支付收入减少，</w:t>
      </w:r>
      <w:r>
        <w:rPr>
          <w:rFonts w:hint="eastAsia" w:ascii="仿宋_GB2312" w:hAnsi="仿宋_GB2312" w:eastAsia="仿宋_GB2312" w:cs="仿宋_GB2312"/>
          <w:color w:val="auto"/>
          <w:sz w:val="32"/>
          <w:szCs w:val="32"/>
        </w:rPr>
        <w:t>其中：地方一般公共预算收入</w:t>
      </w:r>
      <w:r>
        <w:rPr>
          <w:rFonts w:hint="eastAsia" w:ascii="仿宋_GB2312" w:hAnsi="仿宋_GB2312" w:eastAsia="仿宋_GB2312" w:cs="仿宋_GB2312"/>
          <w:color w:val="auto"/>
          <w:sz w:val="32"/>
          <w:szCs w:val="32"/>
          <w:lang w:val="en-US" w:eastAsia="zh-CN"/>
        </w:rPr>
        <w:t>85175</w:t>
      </w:r>
      <w:r>
        <w:rPr>
          <w:rFonts w:hint="eastAsia" w:ascii="仿宋_GB2312" w:hAnsi="仿宋_GB2312" w:eastAsia="仿宋_GB2312" w:cs="仿宋_GB2312"/>
          <w:color w:val="auto"/>
          <w:sz w:val="32"/>
          <w:szCs w:val="32"/>
        </w:rPr>
        <w:t>万元；返还性收入</w:t>
      </w:r>
      <w:r>
        <w:rPr>
          <w:rFonts w:hint="eastAsia" w:ascii="仿宋_GB2312" w:hAnsi="仿宋_GB2312" w:eastAsia="仿宋_GB2312" w:cs="仿宋_GB2312"/>
          <w:color w:val="auto"/>
          <w:sz w:val="32"/>
          <w:szCs w:val="32"/>
          <w:lang w:val="en-US" w:eastAsia="zh-CN"/>
        </w:rPr>
        <w:t>15471</w:t>
      </w:r>
      <w:r>
        <w:rPr>
          <w:rFonts w:hint="eastAsia" w:ascii="仿宋_GB2312" w:hAnsi="仿宋_GB2312" w:eastAsia="仿宋_GB2312" w:cs="仿宋_GB2312"/>
          <w:color w:val="auto"/>
          <w:sz w:val="32"/>
          <w:szCs w:val="32"/>
        </w:rPr>
        <w:t>万元；一般性转移支付收入</w:t>
      </w:r>
      <w:r>
        <w:rPr>
          <w:rFonts w:hint="eastAsia" w:ascii="仿宋_GB2312" w:hAnsi="仿宋_GB2312" w:eastAsia="仿宋_GB2312" w:cs="仿宋_GB2312"/>
          <w:color w:val="auto"/>
          <w:sz w:val="32"/>
          <w:szCs w:val="32"/>
          <w:lang w:val="en-US" w:eastAsia="zh-CN"/>
        </w:rPr>
        <w:t>236875</w:t>
      </w:r>
      <w:r>
        <w:rPr>
          <w:rFonts w:hint="eastAsia" w:ascii="仿宋_GB2312" w:hAnsi="仿宋_GB2312" w:eastAsia="仿宋_GB2312" w:cs="仿宋_GB2312"/>
          <w:color w:val="auto"/>
          <w:sz w:val="32"/>
          <w:szCs w:val="32"/>
        </w:rPr>
        <w:t>万元，比</w:t>
      </w:r>
      <w:r>
        <w:rPr>
          <w:rFonts w:hint="eastAsia" w:ascii="仿宋_GB2312" w:hAnsi="仿宋_GB2312" w:eastAsia="仿宋_GB2312" w:cs="仿宋_GB2312"/>
          <w:color w:val="auto"/>
          <w:sz w:val="32"/>
          <w:szCs w:val="32"/>
          <w:lang w:eastAsia="zh-CN"/>
        </w:rPr>
        <w:t>执行数减少</w:t>
      </w:r>
      <w:r>
        <w:rPr>
          <w:rFonts w:hint="eastAsia" w:ascii="仿宋_GB2312" w:hAnsi="仿宋_GB2312" w:eastAsia="仿宋_GB2312" w:cs="仿宋_GB2312"/>
          <w:color w:val="auto"/>
          <w:sz w:val="32"/>
          <w:szCs w:val="32"/>
          <w:lang w:val="en-US" w:eastAsia="zh-CN"/>
        </w:rPr>
        <w:t>12364</w:t>
      </w:r>
      <w:r>
        <w:rPr>
          <w:rFonts w:hint="eastAsia" w:ascii="仿宋_GB2312" w:hAnsi="仿宋_GB2312" w:eastAsia="仿宋_GB2312" w:cs="仿宋_GB2312"/>
          <w:color w:val="auto"/>
          <w:sz w:val="32"/>
          <w:szCs w:val="32"/>
        </w:rPr>
        <w:t>万元；专项转移支付收入</w:t>
      </w:r>
      <w:r>
        <w:rPr>
          <w:rFonts w:hint="eastAsia" w:ascii="仿宋_GB2312" w:hAnsi="仿宋_GB2312" w:eastAsia="仿宋_GB2312" w:cs="仿宋_GB2312"/>
          <w:color w:val="auto"/>
          <w:sz w:val="32"/>
          <w:szCs w:val="32"/>
          <w:lang w:val="en-US" w:eastAsia="zh-CN"/>
        </w:rPr>
        <w:t>33319</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比</w:t>
      </w:r>
      <w:r>
        <w:rPr>
          <w:rFonts w:hint="eastAsia" w:ascii="仿宋_GB2312" w:hAnsi="仿宋_GB2312" w:eastAsia="仿宋_GB2312" w:cs="仿宋_GB2312"/>
          <w:color w:val="auto"/>
          <w:sz w:val="32"/>
          <w:szCs w:val="32"/>
          <w:lang w:eastAsia="zh-CN"/>
        </w:rPr>
        <w:t>执行数</w:t>
      </w:r>
      <w:r>
        <w:rPr>
          <w:rFonts w:hint="eastAsia" w:ascii="仿宋_GB2312" w:hAnsi="仿宋_GB2312" w:eastAsia="仿宋_GB2312" w:cs="仿宋_GB2312"/>
          <w:color w:val="auto"/>
          <w:sz w:val="32"/>
          <w:szCs w:val="32"/>
        </w:rPr>
        <w:t>增加</w:t>
      </w:r>
      <w:r>
        <w:rPr>
          <w:rFonts w:hint="eastAsia" w:ascii="仿宋_GB2312" w:hAnsi="仿宋_GB2312" w:eastAsia="仿宋_GB2312" w:cs="仿宋_GB2312"/>
          <w:color w:val="auto"/>
          <w:sz w:val="32"/>
          <w:szCs w:val="32"/>
          <w:lang w:val="en-US" w:eastAsia="zh-CN"/>
        </w:rPr>
        <w:t>210</w:t>
      </w:r>
      <w:r>
        <w:rPr>
          <w:rFonts w:hint="eastAsia" w:ascii="仿宋_GB2312" w:hAnsi="仿宋_GB2312" w:eastAsia="仿宋_GB2312" w:cs="仿宋_GB2312"/>
          <w:color w:val="auto"/>
          <w:sz w:val="32"/>
          <w:szCs w:val="32"/>
        </w:rPr>
        <w:t>万元；上年</w:t>
      </w:r>
      <w:r>
        <w:rPr>
          <w:rFonts w:hint="eastAsia" w:ascii="仿宋_GB2312" w:hAnsi="仿宋_GB2312" w:eastAsia="仿宋_GB2312" w:cs="仿宋_GB2312"/>
          <w:color w:val="auto"/>
          <w:sz w:val="32"/>
          <w:szCs w:val="32"/>
          <w:lang w:eastAsia="zh-CN"/>
        </w:rPr>
        <w:t>结余</w:t>
      </w:r>
      <w:r>
        <w:rPr>
          <w:rFonts w:hint="eastAsia" w:ascii="仿宋_GB2312" w:hAnsi="仿宋_GB2312" w:eastAsia="仿宋_GB2312" w:cs="仿宋_GB2312"/>
          <w:color w:val="auto"/>
          <w:sz w:val="32"/>
          <w:szCs w:val="32"/>
          <w:lang w:val="en-US" w:eastAsia="zh-CN"/>
        </w:rPr>
        <w:t>49568</w:t>
      </w:r>
      <w:r>
        <w:rPr>
          <w:rFonts w:hint="eastAsia" w:ascii="仿宋_GB2312" w:hAnsi="仿宋_GB2312" w:eastAsia="仿宋_GB2312" w:cs="仿宋_GB2312"/>
          <w:color w:val="auto"/>
          <w:sz w:val="32"/>
          <w:szCs w:val="32"/>
        </w:rPr>
        <w:t>万元；调入资金</w:t>
      </w:r>
      <w:r>
        <w:rPr>
          <w:rFonts w:hint="eastAsia" w:ascii="仿宋_GB2312" w:hAnsi="仿宋_GB2312" w:eastAsia="仿宋_GB2312" w:cs="仿宋_GB2312"/>
          <w:color w:val="auto"/>
          <w:sz w:val="32"/>
          <w:szCs w:val="32"/>
          <w:lang w:val="en-US" w:eastAsia="zh-CN"/>
        </w:rPr>
        <w:t>5049</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highlight w:val="none"/>
          <w:lang w:eastAsia="zh-CN"/>
        </w:rPr>
        <w:t>一般</w:t>
      </w:r>
      <w:r>
        <w:rPr>
          <w:rFonts w:hint="eastAsia" w:ascii="仿宋_GB2312" w:hAnsi="仿宋_GB2312" w:eastAsia="仿宋_GB2312" w:cs="仿宋_GB2312"/>
          <w:color w:val="auto"/>
          <w:kern w:val="0"/>
          <w:sz w:val="32"/>
          <w:szCs w:val="32"/>
          <w:highlight w:val="none"/>
          <w:lang w:val="en-US" w:eastAsia="zh-CN"/>
        </w:rPr>
        <w:t>债务</w:t>
      </w:r>
      <w:r>
        <w:rPr>
          <w:rFonts w:hint="eastAsia" w:ascii="仿宋_GB2312" w:hAnsi="仿宋_GB2312" w:eastAsia="仿宋_GB2312" w:cs="仿宋_GB2312"/>
          <w:color w:val="auto"/>
          <w:sz w:val="32"/>
          <w:szCs w:val="32"/>
          <w:highlight w:val="none"/>
        </w:rPr>
        <w:t>转贷收入</w:t>
      </w:r>
      <w:r>
        <w:rPr>
          <w:rFonts w:hint="eastAsia" w:ascii="仿宋_GB2312" w:hAnsi="仿宋_GB2312" w:eastAsia="仿宋_GB2312" w:cs="仿宋_GB2312"/>
          <w:color w:val="auto"/>
          <w:sz w:val="32"/>
          <w:szCs w:val="32"/>
          <w:lang w:val="en-US" w:eastAsia="zh-CN"/>
        </w:rPr>
        <w:t>49402</w:t>
      </w:r>
      <w:r>
        <w:rPr>
          <w:rFonts w:hint="eastAsia" w:ascii="仿宋_GB2312" w:hAnsi="仿宋_GB2312" w:eastAsia="仿宋_GB2312" w:cs="仿宋_GB2312"/>
          <w:color w:val="auto"/>
          <w:sz w:val="32"/>
          <w:szCs w:val="32"/>
        </w:rPr>
        <w:t>万元。</w:t>
      </w:r>
    </w:p>
    <w:p w14:paraId="3DEF4BC2">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全县</w:t>
      </w:r>
      <w:r>
        <w:rPr>
          <w:rFonts w:hint="eastAsia" w:ascii="仿宋_GB2312" w:hAnsi="仿宋_GB2312" w:eastAsia="仿宋_GB2312" w:cs="仿宋_GB2312"/>
          <w:color w:val="auto"/>
          <w:sz w:val="32"/>
          <w:szCs w:val="32"/>
        </w:rPr>
        <w:t>一般公共预算支出总量</w:t>
      </w:r>
      <w:r>
        <w:rPr>
          <w:rFonts w:hint="eastAsia" w:ascii="仿宋_GB2312" w:hAnsi="仿宋_GB2312" w:eastAsia="仿宋_GB2312" w:cs="仿宋_GB2312"/>
          <w:color w:val="auto"/>
          <w:sz w:val="32"/>
          <w:szCs w:val="32"/>
          <w:lang w:val="en-US" w:eastAsia="zh-CN"/>
        </w:rPr>
        <w:t>474322</w:t>
      </w:r>
      <w:r>
        <w:rPr>
          <w:rFonts w:hint="eastAsia" w:ascii="仿宋_GB2312" w:hAnsi="仿宋_GB2312" w:eastAsia="仿宋_GB2312" w:cs="仿宋_GB2312"/>
          <w:color w:val="auto"/>
          <w:sz w:val="32"/>
          <w:szCs w:val="32"/>
        </w:rPr>
        <w:t>万元，比年初人代会报告</w:t>
      </w:r>
      <w:r>
        <w:rPr>
          <w:rFonts w:hint="eastAsia" w:ascii="仿宋_GB2312" w:hAnsi="仿宋_GB2312" w:eastAsia="仿宋_GB2312" w:cs="仿宋_GB2312"/>
          <w:color w:val="auto"/>
          <w:sz w:val="32"/>
          <w:szCs w:val="32"/>
          <w:lang w:eastAsia="zh-CN"/>
        </w:rPr>
        <w:t>的执行数增加</w:t>
      </w:r>
      <w:r>
        <w:rPr>
          <w:rFonts w:hint="eastAsia" w:ascii="仿宋_GB2312" w:hAnsi="仿宋_GB2312" w:eastAsia="仿宋_GB2312" w:cs="仿宋_GB2312"/>
          <w:color w:val="auto"/>
          <w:sz w:val="32"/>
          <w:szCs w:val="32"/>
          <w:lang w:val="en-US" w:eastAsia="zh-CN"/>
        </w:rPr>
        <w:t>10439</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其中：地方一般公共预算支出</w:t>
      </w:r>
      <w:r>
        <w:rPr>
          <w:rFonts w:hint="eastAsia" w:ascii="仿宋_GB2312" w:hAnsi="仿宋_GB2312" w:eastAsia="仿宋_GB2312" w:cs="仿宋_GB2312"/>
          <w:color w:val="auto"/>
          <w:sz w:val="32"/>
          <w:szCs w:val="32"/>
          <w:lang w:val="en-US" w:eastAsia="zh-CN"/>
        </w:rPr>
        <w:t>424246</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，比执行数增加</w:t>
      </w:r>
      <w:r>
        <w:rPr>
          <w:rFonts w:hint="eastAsia" w:ascii="仿宋_GB2312" w:hAnsi="仿宋_GB2312" w:eastAsia="仿宋_GB2312" w:cs="仿宋_GB2312"/>
          <w:color w:val="auto"/>
          <w:sz w:val="32"/>
          <w:szCs w:val="32"/>
          <w:lang w:val="en-US" w:eastAsia="zh-CN"/>
        </w:rPr>
        <w:t>13万元，主要是体制结算后需地方列支的省级代扣支出增加</w:t>
      </w:r>
      <w:r>
        <w:rPr>
          <w:rFonts w:hint="eastAsia" w:ascii="仿宋_GB2312" w:hAnsi="仿宋_GB2312" w:eastAsia="仿宋_GB2312" w:cs="仿宋_GB2312"/>
          <w:color w:val="auto"/>
          <w:sz w:val="32"/>
          <w:szCs w:val="32"/>
        </w:rPr>
        <w:t>；上解</w:t>
      </w:r>
      <w:r>
        <w:rPr>
          <w:rFonts w:hint="eastAsia" w:ascii="仿宋_GB2312" w:hAnsi="仿宋_GB2312" w:eastAsia="仿宋_GB2312" w:cs="仿宋_GB2312"/>
          <w:color w:val="auto"/>
          <w:sz w:val="32"/>
          <w:szCs w:val="32"/>
          <w:lang w:eastAsia="zh-CN"/>
        </w:rPr>
        <w:t>上级</w:t>
      </w:r>
      <w:r>
        <w:rPr>
          <w:rFonts w:hint="eastAsia" w:ascii="仿宋_GB2312" w:hAnsi="仿宋_GB2312" w:eastAsia="仿宋_GB2312" w:cs="仿宋_GB2312"/>
          <w:color w:val="auto"/>
          <w:sz w:val="32"/>
          <w:szCs w:val="32"/>
        </w:rPr>
        <w:t>支出</w:t>
      </w:r>
      <w:r>
        <w:rPr>
          <w:rFonts w:hint="eastAsia" w:ascii="仿宋_GB2312" w:hAnsi="仿宋_GB2312" w:eastAsia="仿宋_GB2312" w:cs="仿宋_GB2312"/>
          <w:color w:val="auto"/>
          <w:sz w:val="32"/>
          <w:szCs w:val="32"/>
          <w:lang w:val="en-US" w:eastAsia="zh-CN"/>
        </w:rPr>
        <w:t>15122</w:t>
      </w:r>
      <w:r>
        <w:rPr>
          <w:rFonts w:hint="eastAsia" w:ascii="仿宋_GB2312" w:hAnsi="仿宋_GB2312" w:eastAsia="仿宋_GB2312" w:cs="仿宋_GB2312"/>
          <w:color w:val="auto"/>
          <w:sz w:val="32"/>
          <w:szCs w:val="32"/>
        </w:rPr>
        <w:t>万元，比</w:t>
      </w:r>
      <w:r>
        <w:rPr>
          <w:rFonts w:hint="eastAsia" w:ascii="仿宋_GB2312" w:hAnsi="仿宋_GB2312" w:eastAsia="仿宋_GB2312" w:cs="仿宋_GB2312"/>
          <w:color w:val="auto"/>
          <w:sz w:val="32"/>
          <w:szCs w:val="32"/>
          <w:lang w:eastAsia="zh-CN"/>
        </w:rPr>
        <w:t>执行数</w:t>
      </w:r>
      <w:r>
        <w:rPr>
          <w:rFonts w:hint="eastAsia" w:ascii="仿宋_GB2312" w:hAnsi="仿宋_GB2312" w:eastAsia="仿宋_GB2312" w:cs="仿宋_GB2312"/>
          <w:color w:val="auto"/>
          <w:sz w:val="32"/>
          <w:szCs w:val="32"/>
          <w:highlight w:val="none"/>
          <w:lang w:eastAsia="zh-CN"/>
        </w:rPr>
        <w:t>增加</w:t>
      </w:r>
      <w:r>
        <w:rPr>
          <w:rFonts w:hint="eastAsia" w:ascii="仿宋_GB2312" w:hAnsi="仿宋_GB2312" w:eastAsia="仿宋_GB2312" w:cs="仿宋_GB2312"/>
          <w:color w:val="auto"/>
          <w:sz w:val="32"/>
          <w:szCs w:val="32"/>
          <w:lang w:val="en-US" w:eastAsia="zh-CN"/>
        </w:rPr>
        <w:t>226</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；安排预算稳定调节基金</w:t>
      </w:r>
      <w:r>
        <w:rPr>
          <w:rFonts w:hint="eastAsia" w:ascii="仿宋_GB2312" w:hAnsi="仿宋_GB2312" w:eastAsia="仿宋_GB2312" w:cs="仿宋_GB2312"/>
          <w:color w:val="auto"/>
          <w:sz w:val="32"/>
          <w:szCs w:val="32"/>
          <w:lang w:val="en-US" w:eastAsia="zh-CN"/>
        </w:rPr>
        <w:t>175万元；</w:t>
      </w:r>
      <w:r>
        <w:rPr>
          <w:rFonts w:hint="eastAsia" w:ascii="仿宋_GB2312" w:hAnsi="仿宋_GB2312" w:eastAsia="仿宋_GB2312" w:cs="仿宋_GB2312"/>
          <w:color w:val="auto"/>
          <w:sz w:val="32"/>
          <w:szCs w:val="32"/>
        </w:rPr>
        <w:t>债务还本支出</w:t>
      </w:r>
      <w:r>
        <w:rPr>
          <w:rFonts w:hint="eastAsia" w:ascii="仿宋_GB2312" w:hAnsi="仿宋_GB2312" w:eastAsia="仿宋_GB2312" w:cs="仿宋_GB2312"/>
          <w:color w:val="auto"/>
          <w:sz w:val="32"/>
          <w:szCs w:val="32"/>
          <w:lang w:val="en-US" w:eastAsia="zh-CN"/>
        </w:rPr>
        <w:t>24579</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；待</w:t>
      </w:r>
      <w:r>
        <w:rPr>
          <w:rFonts w:hint="eastAsia" w:ascii="仿宋_GB2312" w:hAnsi="仿宋_GB2312" w:eastAsia="仿宋_GB2312" w:cs="仿宋_GB2312"/>
          <w:color w:val="auto"/>
          <w:sz w:val="32"/>
          <w:szCs w:val="32"/>
          <w:lang w:val="en-US" w:eastAsia="zh-CN"/>
        </w:rPr>
        <w:t>偿债再融资一般债券结余增加10200万元，根据省财政厅体制结算要求予以调整</w:t>
      </w:r>
      <w:r>
        <w:rPr>
          <w:rFonts w:hint="eastAsia" w:ascii="仿宋_GB2312" w:hAnsi="仿宋_GB2312" w:eastAsia="仿宋_GB2312" w:cs="仿宋_GB2312"/>
          <w:color w:val="auto"/>
          <w:sz w:val="32"/>
          <w:szCs w:val="32"/>
        </w:rPr>
        <w:t>。</w:t>
      </w:r>
    </w:p>
    <w:p w14:paraId="1A5C1082">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rPr>
        <w:t>全县一般公共预算收支相抵，结转下年支出</w:t>
      </w:r>
      <w:r>
        <w:rPr>
          <w:rFonts w:hint="eastAsia" w:ascii="仿宋_GB2312" w:hAnsi="仿宋_GB2312" w:eastAsia="仿宋_GB2312" w:cs="仿宋_GB2312"/>
          <w:color w:val="auto"/>
          <w:sz w:val="32"/>
          <w:szCs w:val="32"/>
          <w:lang w:val="en-US" w:eastAsia="zh-CN"/>
        </w:rPr>
        <w:t>537</w:t>
      </w:r>
      <w:r>
        <w:rPr>
          <w:rFonts w:hint="eastAsia" w:ascii="仿宋_GB2312" w:hAnsi="仿宋_GB2312" w:eastAsia="仿宋_GB2312" w:cs="仿宋_GB2312"/>
          <w:color w:val="auto"/>
          <w:sz w:val="32"/>
          <w:szCs w:val="32"/>
        </w:rPr>
        <w:t>万元，主要是</w:t>
      </w:r>
      <w:r>
        <w:rPr>
          <w:rFonts w:hint="eastAsia" w:ascii="仿宋_GB2312" w:hAnsi="仿宋_GB2312" w:eastAsia="仿宋_GB2312" w:cs="仿宋_GB2312"/>
          <w:color w:val="auto"/>
          <w:sz w:val="32"/>
          <w:szCs w:val="32"/>
          <w:lang w:val="en-US" w:eastAsia="zh-CN"/>
        </w:rPr>
        <w:t>当年未使用完毕的上级专款需结转至2025年支出</w:t>
      </w:r>
      <w:r>
        <w:rPr>
          <w:rFonts w:hint="eastAsia" w:ascii="仿宋_GB2312" w:hAnsi="仿宋_GB2312" w:eastAsia="仿宋_GB2312" w:cs="仿宋_GB2312"/>
          <w:color w:val="auto"/>
          <w:sz w:val="32"/>
          <w:szCs w:val="32"/>
          <w:highlight w:val="none"/>
        </w:rPr>
        <w:t>。</w:t>
      </w:r>
    </w:p>
    <w:p w14:paraId="5F9C09DF">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s="Times New Roman"/>
          <w:color w:val="auto"/>
          <w:kern w:val="0"/>
          <w:sz w:val="32"/>
          <w:szCs w:val="32"/>
          <w:lang w:eastAsia="zh-CN"/>
        </w:rPr>
      </w:pPr>
      <w:r>
        <w:rPr>
          <w:rFonts w:hint="eastAsia" w:ascii="Times New Roman" w:hAnsi="Times New Roman" w:eastAsia="楷体_GB2312" w:cs="Times New Roman"/>
          <w:color w:val="auto"/>
          <w:kern w:val="0"/>
          <w:sz w:val="32"/>
          <w:szCs w:val="32"/>
        </w:rPr>
        <w:t>（二）政府性基金</w:t>
      </w:r>
      <w:r>
        <w:rPr>
          <w:rFonts w:hint="eastAsia" w:ascii="Times New Roman" w:hAnsi="Times New Roman" w:eastAsia="楷体_GB2312" w:cs="Times New Roman"/>
          <w:color w:val="auto"/>
          <w:kern w:val="0"/>
          <w:sz w:val="32"/>
          <w:szCs w:val="32"/>
          <w:lang w:eastAsia="zh-CN"/>
        </w:rPr>
        <w:t>预算收支</w:t>
      </w:r>
      <w:r>
        <w:rPr>
          <w:rFonts w:hint="eastAsia" w:ascii="Times New Roman" w:hAnsi="Times New Roman" w:eastAsia="楷体_GB2312" w:cs="Times New Roman"/>
          <w:color w:val="auto"/>
          <w:kern w:val="0"/>
          <w:sz w:val="32"/>
          <w:szCs w:val="32"/>
        </w:rPr>
        <w:t>决算情况</w:t>
      </w:r>
    </w:p>
    <w:p w14:paraId="54A859D7">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全县政府性基金</w:t>
      </w:r>
      <w:r>
        <w:rPr>
          <w:rFonts w:hint="eastAsia" w:ascii="仿宋_GB2312" w:hAnsi="仿宋_GB2312" w:eastAsia="仿宋_GB2312" w:cs="仿宋_GB2312"/>
          <w:color w:val="auto"/>
          <w:kern w:val="0"/>
          <w:sz w:val="32"/>
          <w:szCs w:val="32"/>
          <w:lang w:eastAsia="zh-CN"/>
        </w:rPr>
        <w:t>收入总量</w:t>
      </w:r>
      <w:r>
        <w:rPr>
          <w:rFonts w:hint="eastAsia" w:ascii="仿宋_GB2312" w:hAnsi="仿宋_GB2312" w:eastAsia="仿宋_GB2312" w:cs="仿宋_GB2312"/>
          <w:color w:val="auto"/>
          <w:kern w:val="0"/>
          <w:sz w:val="32"/>
          <w:szCs w:val="32"/>
          <w:lang w:val="en-US" w:eastAsia="zh-CN"/>
        </w:rPr>
        <w:t>190465</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sz w:val="32"/>
          <w:szCs w:val="32"/>
        </w:rPr>
        <w:t>比年初人代会报告的</w:t>
      </w:r>
      <w:r>
        <w:rPr>
          <w:rFonts w:hint="eastAsia" w:ascii="仿宋_GB2312" w:hAnsi="仿宋_GB2312" w:eastAsia="仿宋_GB2312" w:cs="仿宋_GB2312"/>
          <w:color w:val="auto"/>
          <w:sz w:val="32"/>
          <w:szCs w:val="32"/>
          <w:lang w:eastAsia="zh-CN"/>
        </w:rPr>
        <w:t>执行数</w:t>
      </w:r>
      <w:r>
        <w:rPr>
          <w:rFonts w:hint="eastAsia" w:ascii="仿宋_GB2312" w:hAnsi="仿宋_GB2312" w:eastAsia="仿宋_GB2312" w:cs="仿宋_GB2312"/>
          <w:color w:val="auto"/>
          <w:sz w:val="32"/>
          <w:szCs w:val="32"/>
        </w:rPr>
        <w:t>增加</w:t>
      </w:r>
      <w:r>
        <w:rPr>
          <w:rFonts w:hint="eastAsia" w:ascii="仿宋_GB2312" w:hAnsi="仿宋_GB2312" w:eastAsia="仿宋_GB2312" w:cs="仿宋_GB2312"/>
          <w:color w:val="auto"/>
          <w:sz w:val="32"/>
          <w:szCs w:val="32"/>
          <w:lang w:val="en-US" w:eastAsia="zh-CN"/>
        </w:rPr>
        <w:t>2477</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rPr>
        <w:t>其中：本级政府性基金收入</w:t>
      </w:r>
      <w:r>
        <w:rPr>
          <w:rFonts w:hint="eastAsia" w:ascii="仿宋_GB2312" w:hAnsi="仿宋_GB2312" w:eastAsia="仿宋_GB2312" w:cs="仿宋_GB2312"/>
          <w:color w:val="auto"/>
          <w:kern w:val="0"/>
          <w:sz w:val="32"/>
          <w:szCs w:val="32"/>
          <w:lang w:val="en-US" w:eastAsia="zh-CN"/>
        </w:rPr>
        <w:t>29275</w:t>
      </w:r>
      <w:r>
        <w:rPr>
          <w:rFonts w:hint="eastAsia" w:ascii="仿宋_GB2312" w:hAnsi="仿宋_GB2312" w:eastAsia="仿宋_GB2312" w:cs="仿宋_GB2312"/>
          <w:color w:val="auto"/>
          <w:kern w:val="0"/>
          <w:sz w:val="32"/>
          <w:szCs w:val="32"/>
        </w:rPr>
        <w:t>万元；专项转移支付收入</w:t>
      </w:r>
      <w:r>
        <w:rPr>
          <w:rFonts w:hint="eastAsia" w:ascii="仿宋_GB2312" w:hAnsi="仿宋_GB2312" w:eastAsia="仿宋_GB2312" w:cs="仿宋_GB2312"/>
          <w:color w:val="auto"/>
          <w:kern w:val="0"/>
          <w:sz w:val="32"/>
          <w:szCs w:val="32"/>
          <w:lang w:val="en-US" w:eastAsia="zh-CN"/>
        </w:rPr>
        <w:t>79961</w:t>
      </w:r>
      <w:r>
        <w:rPr>
          <w:rFonts w:hint="eastAsia" w:ascii="仿宋_GB2312" w:hAnsi="仿宋_GB2312" w:eastAsia="仿宋_GB2312" w:cs="仿宋_GB2312"/>
          <w:color w:val="auto"/>
          <w:kern w:val="0"/>
          <w:sz w:val="32"/>
          <w:szCs w:val="32"/>
        </w:rPr>
        <w:t>万元；上年</w:t>
      </w:r>
      <w:r>
        <w:rPr>
          <w:rFonts w:hint="eastAsia" w:ascii="仿宋_GB2312" w:hAnsi="仿宋_GB2312" w:eastAsia="仿宋_GB2312" w:cs="仿宋_GB2312"/>
          <w:color w:val="auto"/>
          <w:kern w:val="0"/>
          <w:sz w:val="32"/>
          <w:szCs w:val="32"/>
          <w:lang w:eastAsia="zh-CN"/>
        </w:rPr>
        <w:t>结余</w:t>
      </w:r>
      <w:r>
        <w:rPr>
          <w:rFonts w:hint="eastAsia" w:ascii="仿宋_GB2312" w:hAnsi="仿宋_GB2312" w:eastAsia="仿宋_GB2312" w:cs="仿宋_GB2312"/>
          <w:color w:val="auto"/>
          <w:kern w:val="0"/>
          <w:sz w:val="32"/>
          <w:szCs w:val="32"/>
          <w:lang w:val="en-US" w:eastAsia="zh-CN"/>
        </w:rPr>
        <w:t>22240</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专项</w:t>
      </w:r>
      <w:r>
        <w:rPr>
          <w:rFonts w:hint="eastAsia" w:ascii="仿宋_GB2312" w:hAnsi="仿宋_GB2312" w:eastAsia="仿宋_GB2312" w:cs="仿宋_GB2312"/>
          <w:color w:val="auto"/>
          <w:kern w:val="0"/>
          <w:sz w:val="32"/>
          <w:szCs w:val="32"/>
          <w:lang w:val="en-US" w:eastAsia="zh-CN"/>
        </w:rPr>
        <w:t>债务</w:t>
      </w:r>
      <w:r>
        <w:rPr>
          <w:rFonts w:hint="eastAsia" w:ascii="仿宋_GB2312" w:hAnsi="仿宋_GB2312" w:eastAsia="仿宋_GB2312" w:cs="仿宋_GB2312"/>
          <w:color w:val="auto"/>
          <w:kern w:val="0"/>
          <w:sz w:val="32"/>
          <w:szCs w:val="32"/>
        </w:rPr>
        <w:t>转贷收入</w:t>
      </w:r>
      <w:r>
        <w:rPr>
          <w:rFonts w:hint="eastAsia" w:ascii="仿宋_GB2312" w:hAnsi="仿宋_GB2312" w:eastAsia="仿宋_GB2312" w:cs="仿宋_GB2312"/>
          <w:color w:val="auto"/>
          <w:kern w:val="0"/>
          <w:sz w:val="32"/>
          <w:szCs w:val="32"/>
          <w:lang w:val="en-US" w:eastAsia="zh-CN"/>
        </w:rPr>
        <w:t>56512</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调入资金</w:t>
      </w:r>
      <w:r>
        <w:rPr>
          <w:rFonts w:hint="eastAsia" w:ascii="仿宋_GB2312" w:hAnsi="仿宋_GB2312" w:eastAsia="仿宋_GB2312" w:cs="仿宋_GB2312"/>
          <w:color w:val="auto"/>
          <w:kern w:val="0"/>
          <w:sz w:val="32"/>
          <w:szCs w:val="32"/>
          <w:lang w:val="en-US" w:eastAsia="zh-CN"/>
        </w:rPr>
        <w:t>2477万元。</w:t>
      </w:r>
    </w:p>
    <w:p w14:paraId="5C609A9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全县政府性基金支出</w:t>
      </w:r>
      <w:r>
        <w:rPr>
          <w:rFonts w:hint="eastAsia" w:ascii="仿宋_GB2312" w:hAnsi="仿宋_GB2312" w:eastAsia="仿宋_GB2312" w:cs="仿宋_GB2312"/>
          <w:color w:val="auto"/>
          <w:kern w:val="0"/>
          <w:sz w:val="32"/>
          <w:szCs w:val="32"/>
          <w:lang w:eastAsia="zh-CN"/>
        </w:rPr>
        <w:t>总量</w:t>
      </w:r>
      <w:r>
        <w:rPr>
          <w:rFonts w:hint="eastAsia" w:ascii="仿宋_GB2312" w:hAnsi="仿宋_GB2312" w:eastAsia="仿宋_GB2312" w:cs="仿宋_GB2312"/>
          <w:color w:val="auto"/>
          <w:kern w:val="0"/>
          <w:sz w:val="32"/>
          <w:szCs w:val="32"/>
          <w:lang w:val="en-US" w:eastAsia="zh-CN"/>
        </w:rPr>
        <w:t>129434</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rPr>
        <w:t>比年初人代会报告的</w:t>
      </w:r>
      <w:r>
        <w:rPr>
          <w:rFonts w:hint="eastAsia" w:ascii="仿宋_GB2312" w:hAnsi="仿宋_GB2312" w:eastAsia="仿宋_GB2312" w:cs="仿宋_GB2312"/>
          <w:color w:val="auto"/>
          <w:sz w:val="32"/>
          <w:szCs w:val="32"/>
          <w:lang w:eastAsia="zh-CN"/>
        </w:rPr>
        <w:t>执行数</w:t>
      </w:r>
      <w:r>
        <w:rPr>
          <w:rFonts w:hint="eastAsia" w:ascii="仿宋_GB2312" w:hAnsi="仿宋_GB2312" w:eastAsia="仿宋_GB2312" w:cs="仿宋_GB2312"/>
          <w:color w:val="auto"/>
          <w:sz w:val="32"/>
          <w:szCs w:val="32"/>
        </w:rPr>
        <w:t>增加</w:t>
      </w:r>
      <w:r>
        <w:rPr>
          <w:rFonts w:hint="eastAsia" w:ascii="仿宋_GB2312" w:hAnsi="仿宋_GB2312" w:eastAsia="仿宋_GB2312" w:cs="仿宋_GB2312"/>
          <w:color w:val="auto"/>
          <w:sz w:val="32"/>
          <w:szCs w:val="32"/>
          <w:lang w:val="en-US" w:eastAsia="zh-CN"/>
        </w:rPr>
        <w:t>4600</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lang w:eastAsia="zh-CN"/>
        </w:rPr>
        <w:t>其中：</w:t>
      </w:r>
      <w:r>
        <w:rPr>
          <w:rFonts w:hint="eastAsia" w:ascii="仿宋_GB2312" w:hAnsi="仿宋_GB2312" w:eastAsia="仿宋_GB2312" w:cs="仿宋_GB2312"/>
          <w:color w:val="auto"/>
          <w:kern w:val="0"/>
          <w:sz w:val="32"/>
          <w:szCs w:val="32"/>
        </w:rPr>
        <w:t>本级</w:t>
      </w:r>
      <w:r>
        <w:rPr>
          <w:rFonts w:hint="eastAsia" w:ascii="仿宋_GB2312" w:hAnsi="仿宋_GB2312" w:eastAsia="仿宋_GB2312" w:cs="仿宋_GB2312"/>
          <w:color w:val="auto"/>
          <w:kern w:val="0"/>
          <w:sz w:val="32"/>
          <w:szCs w:val="32"/>
          <w:lang w:eastAsia="zh-CN"/>
        </w:rPr>
        <w:t>政府性基金支出</w:t>
      </w:r>
      <w:r>
        <w:rPr>
          <w:rFonts w:hint="eastAsia" w:ascii="仿宋_GB2312" w:hAnsi="仿宋_GB2312" w:eastAsia="仿宋_GB2312" w:cs="仿宋_GB2312"/>
          <w:color w:val="auto"/>
          <w:kern w:val="0"/>
          <w:sz w:val="32"/>
          <w:szCs w:val="32"/>
          <w:lang w:val="en-US" w:eastAsia="zh-CN"/>
        </w:rPr>
        <w:t>91425</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债券还本支出</w:t>
      </w:r>
      <w:r>
        <w:rPr>
          <w:rFonts w:hint="eastAsia" w:ascii="仿宋_GB2312" w:hAnsi="仿宋_GB2312" w:eastAsia="仿宋_GB2312" w:cs="仿宋_GB2312"/>
          <w:color w:val="auto"/>
          <w:kern w:val="0"/>
          <w:sz w:val="32"/>
          <w:szCs w:val="32"/>
          <w:lang w:val="en-US" w:eastAsia="zh-CN"/>
        </w:rPr>
        <w:t>33409</w:t>
      </w:r>
      <w:r>
        <w:rPr>
          <w:rFonts w:hint="eastAsia" w:ascii="仿宋_GB2312" w:hAnsi="仿宋_GB2312" w:eastAsia="仿宋_GB2312" w:cs="仿宋_GB2312"/>
          <w:color w:val="auto"/>
          <w:kern w:val="0"/>
          <w:sz w:val="32"/>
          <w:szCs w:val="32"/>
          <w:lang w:eastAsia="zh-CN"/>
        </w:rPr>
        <w:t>万元；</w:t>
      </w:r>
      <w:r>
        <w:rPr>
          <w:rFonts w:hint="eastAsia" w:ascii="仿宋_GB2312" w:hAnsi="仿宋_GB2312" w:eastAsia="仿宋_GB2312" w:cs="仿宋_GB2312"/>
          <w:color w:val="auto"/>
          <w:sz w:val="32"/>
          <w:szCs w:val="32"/>
          <w:lang w:eastAsia="zh-CN"/>
        </w:rPr>
        <w:t>待</w:t>
      </w:r>
      <w:r>
        <w:rPr>
          <w:rFonts w:hint="eastAsia" w:ascii="仿宋_GB2312" w:hAnsi="仿宋_GB2312" w:eastAsia="仿宋_GB2312" w:cs="仿宋_GB2312"/>
          <w:color w:val="auto"/>
          <w:sz w:val="32"/>
          <w:szCs w:val="32"/>
          <w:lang w:val="en-US" w:eastAsia="zh-CN"/>
        </w:rPr>
        <w:t>偿债再融资专项债券结余增加4600万元，根据省财政厅体制结算要求予以调整</w:t>
      </w:r>
      <w:r>
        <w:rPr>
          <w:rFonts w:hint="eastAsia" w:ascii="仿宋_GB2312" w:hAnsi="仿宋_GB2312" w:eastAsia="仿宋_GB2312" w:cs="仿宋_GB2312"/>
          <w:color w:val="auto"/>
          <w:kern w:val="0"/>
          <w:sz w:val="32"/>
          <w:szCs w:val="32"/>
        </w:rPr>
        <w:t>。</w:t>
      </w:r>
    </w:p>
    <w:p w14:paraId="6445E725">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全县政府性基金</w:t>
      </w:r>
      <w:r>
        <w:rPr>
          <w:rFonts w:hint="eastAsia" w:ascii="仿宋_GB2312" w:hAnsi="仿宋_GB2312" w:eastAsia="仿宋_GB2312" w:cs="仿宋_GB2312"/>
          <w:color w:val="auto"/>
          <w:kern w:val="0"/>
          <w:sz w:val="32"/>
          <w:szCs w:val="32"/>
          <w:lang w:eastAsia="zh-CN"/>
        </w:rPr>
        <w:t>预算</w:t>
      </w:r>
      <w:r>
        <w:rPr>
          <w:rFonts w:hint="eastAsia" w:ascii="仿宋_GB2312" w:hAnsi="仿宋_GB2312" w:eastAsia="仿宋_GB2312" w:cs="仿宋_GB2312"/>
          <w:color w:val="auto"/>
          <w:kern w:val="0"/>
          <w:sz w:val="32"/>
          <w:szCs w:val="32"/>
        </w:rPr>
        <w:t>收支相抵，结转下年</w:t>
      </w:r>
      <w:r>
        <w:rPr>
          <w:rFonts w:hint="eastAsia" w:ascii="仿宋_GB2312" w:hAnsi="仿宋_GB2312" w:eastAsia="仿宋_GB2312" w:cs="仿宋_GB2312"/>
          <w:color w:val="auto"/>
          <w:kern w:val="0"/>
          <w:sz w:val="32"/>
          <w:szCs w:val="32"/>
          <w:lang w:val="en-US" w:eastAsia="zh-CN"/>
        </w:rPr>
        <w:t>61031</w:t>
      </w:r>
      <w:r>
        <w:rPr>
          <w:rFonts w:hint="eastAsia" w:ascii="仿宋_GB2312" w:hAnsi="仿宋_GB2312" w:eastAsia="仿宋_GB2312" w:cs="仿宋_GB2312"/>
          <w:color w:val="auto"/>
          <w:kern w:val="0"/>
          <w:sz w:val="32"/>
          <w:szCs w:val="32"/>
        </w:rPr>
        <w:t>万元。</w:t>
      </w:r>
    </w:p>
    <w:p w14:paraId="0744E9E1">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s="Times New Roman"/>
          <w:color w:val="auto"/>
          <w:kern w:val="0"/>
          <w:sz w:val="32"/>
          <w:szCs w:val="32"/>
          <w:lang w:eastAsia="zh-CN"/>
        </w:rPr>
      </w:pPr>
      <w:r>
        <w:rPr>
          <w:rFonts w:hint="eastAsia" w:ascii="Times New Roman" w:hAnsi="Times New Roman" w:eastAsia="楷体_GB2312" w:cs="Times New Roman"/>
          <w:color w:val="auto"/>
          <w:kern w:val="0"/>
          <w:sz w:val="32"/>
          <w:szCs w:val="32"/>
        </w:rPr>
        <w:t>（三）</w:t>
      </w:r>
      <w:r>
        <w:rPr>
          <w:rFonts w:hint="eastAsia" w:ascii="Times New Roman" w:hAnsi="Times New Roman" w:eastAsia="楷体_GB2312" w:cs="Times New Roman"/>
          <w:color w:val="auto"/>
          <w:kern w:val="0"/>
          <w:sz w:val="32"/>
          <w:szCs w:val="32"/>
          <w:lang w:eastAsia="zh-CN"/>
        </w:rPr>
        <w:t>社会保险</w:t>
      </w:r>
      <w:r>
        <w:rPr>
          <w:rFonts w:hint="eastAsia" w:ascii="Times New Roman" w:hAnsi="Times New Roman" w:eastAsia="楷体_GB2312" w:cs="Times New Roman"/>
          <w:color w:val="auto"/>
          <w:kern w:val="0"/>
          <w:sz w:val="32"/>
          <w:szCs w:val="32"/>
        </w:rPr>
        <w:t>基金</w:t>
      </w:r>
      <w:r>
        <w:rPr>
          <w:rFonts w:hint="eastAsia" w:ascii="Times New Roman" w:hAnsi="Times New Roman" w:eastAsia="楷体_GB2312" w:cs="Times New Roman"/>
          <w:color w:val="auto"/>
          <w:kern w:val="0"/>
          <w:sz w:val="32"/>
          <w:szCs w:val="32"/>
          <w:lang w:eastAsia="zh-CN"/>
        </w:rPr>
        <w:t>预算收支</w:t>
      </w:r>
      <w:r>
        <w:rPr>
          <w:rFonts w:hint="eastAsia" w:ascii="Times New Roman" w:hAnsi="Times New Roman" w:eastAsia="楷体_GB2312" w:cs="Times New Roman"/>
          <w:color w:val="auto"/>
          <w:kern w:val="0"/>
          <w:sz w:val="32"/>
          <w:szCs w:val="32"/>
        </w:rPr>
        <w:t>决算情况</w:t>
      </w:r>
    </w:p>
    <w:p w14:paraId="28414D46">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全县社会保险基金收入总量</w:t>
      </w:r>
      <w:r>
        <w:rPr>
          <w:rFonts w:hint="eastAsia" w:ascii="仿宋_GB2312" w:hAnsi="仿宋_GB2312" w:eastAsia="仿宋_GB2312" w:cs="仿宋_GB2312"/>
          <w:color w:val="auto"/>
          <w:kern w:val="0"/>
          <w:sz w:val="32"/>
          <w:szCs w:val="32"/>
          <w:lang w:val="en-US" w:eastAsia="zh-CN"/>
        </w:rPr>
        <w:t>121302</w:t>
      </w:r>
      <w:r>
        <w:rPr>
          <w:rFonts w:hint="eastAsia" w:ascii="仿宋_GB2312" w:hAnsi="仿宋_GB2312" w:eastAsia="仿宋_GB2312" w:cs="仿宋_GB2312"/>
          <w:color w:val="auto"/>
          <w:kern w:val="0"/>
          <w:sz w:val="32"/>
          <w:szCs w:val="32"/>
          <w:lang w:eastAsia="zh-CN"/>
        </w:rPr>
        <w:t>万元，其中：社会保险基金当年收入</w:t>
      </w:r>
      <w:r>
        <w:rPr>
          <w:rFonts w:hint="eastAsia" w:ascii="仿宋_GB2312" w:hAnsi="仿宋_GB2312" w:eastAsia="仿宋_GB2312" w:cs="仿宋_GB2312"/>
          <w:color w:val="auto"/>
          <w:kern w:val="0"/>
          <w:sz w:val="32"/>
          <w:szCs w:val="32"/>
          <w:lang w:val="en-US" w:eastAsia="zh-CN"/>
        </w:rPr>
        <w:t>65378</w:t>
      </w:r>
      <w:r>
        <w:rPr>
          <w:rFonts w:hint="eastAsia" w:ascii="仿宋_GB2312" w:hAnsi="仿宋_GB2312" w:eastAsia="仿宋_GB2312" w:cs="仿宋_GB2312"/>
          <w:color w:val="auto"/>
          <w:kern w:val="0"/>
          <w:sz w:val="32"/>
          <w:szCs w:val="32"/>
          <w:lang w:eastAsia="zh-CN"/>
        </w:rPr>
        <w:t>万元（城乡居民养老保险基金收入</w:t>
      </w:r>
      <w:r>
        <w:rPr>
          <w:rFonts w:hint="eastAsia" w:ascii="仿宋_GB2312" w:hAnsi="仿宋_GB2312" w:eastAsia="仿宋_GB2312" w:cs="仿宋_GB2312"/>
          <w:color w:val="auto"/>
          <w:kern w:val="0"/>
          <w:sz w:val="32"/>
          <w:szCs w:val="32"/>
          <w:lang w:val="en-US" w:eastAsia="zh-CN"/>
        </w:rPr>
        <w:t>27510</w:t>
      </w:r>
      <w:r>
        <w:rPr>
          <w:rFonts w:hint="eastAsia" w:ascii="仿宋_GB2312" w:hAnsi="仿宋_GB2312" w:eastAsia="仿宋_GB2312" w:cs="仿宋_GB2312"/>
          <w:color w:val="auto"/>
          <w:kern w:val="0"/>
          <w:sz w:val="32"/>
          <w:szCs w:val="32"/>
          <w:lang w:eastAsia="zh-CN"/>
        </w:rPr>
        <w:t>万元，机关事业单位养老保险基金收入</w:t>
      </w:r>
      <w:r>
        <w:rPr>
          <w:rFonts w:hint="eastAsia" w:ascii="仿宋_GB2312" w:hAnsi="仿宋_GB2312" w:eastAsia="仿宋_GB2312" w:cs="仿宋_GB2312"/>
          <w:color w:val="auto"/>
          <w:kern w:val="0"/>
          <w:sz w:val="32"/>
          <w:szCs w:val="32"/>
          <w:lang w:val="en-US" w:eastAsia="zh-CN"/>
        </w:rPr>
        <w:t>37868</w:t>
      </w:r>
      <w:r>
        <w:rPr>
          <w:rFonts w:hint="eastAsia" w:ascii="仿宋_GB2312" w:hAnsi="仿宋_GB2312" w:eastAsia="仿宋_GB2312" w:cs="仿宋_GB2312"/>
          <w:color w:val="auto"/>
          <w:kern w:val="0"/>
          <w:sz w:val="32"/>
          <w:szCs w:val="32"/>
          <w:lang w:eastAsia="zh-CN"/>
        </w:rPr>
        <w:t>万元）；历年滚存结余</w:t>
      </w:r>
      <w:r>
        <w:rPr>
          <w:rFonts w:hint="eastAsia" w:ascii="仿宋_GB2312" w:hAnsi="仿宋_GB2312" w:eastAsia="仿宋_GB2312" w:cs="仿宋_GB2312"/>
          <w:color w:val="auto"/>
          <w:kern w:val="0"/>
          <w:sz w:val="32"/>
          <w:szCs w:val="32"/>
          <w:lang w:val="en-US" w:eastAsia="zh-CN"/>
        </w:rPr>
        <w:t>55924</w:t>
      </w:r>
      <w:r>
        <w:rPr>
          <w:rFonts w:hint="eastAsia" w:ascii="仿宋_GB2312" w:hAnsi="仿宋_GB2312" w:eastAsia="仿宋_GB2312" w:cs="仿宋_GB2312"/>
          <w:color w:val="auto"/>
          <w:kern w:val="0"/>
          <w:sz w:val="32"/>
          <w:szCs w:val="32"/>
          <w:lang w:eastAsia="zh-CN"/>
        </w:rPr>
        <w:t>万元。</w:t>
      </w:r>
    </w:p>
    <w:p w14:paraId="3211160F">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全县社会保险基金当年支出</w:t>
      </w:r>
      <w:r>
        <w:rPr>
          <w:rFonts w:hint="eastAsia" w:ascii="仿宋_GB2312" w:hAnsi="仿宋_GB2312" w:eastAsia="仿宋_GB2312" w:cs="仿宋_GB2312"/>
          <w:color w:val="auto"/>
          <w:kern w:val="0"/>
          <w:sz w:val="32"/>
          <w:szCs w:val="32"/>
          <w:highlight w:val="none"/>
          <w:lang w:val="en-US" w:eastAsia="zh-CN"/>
        </w:rPr>
        <w:t>54917</w:t>
      </w:r>
      <w:r>
        <w:rPr>
          <w:rFonts w:hint="eastAsia" w:ascii="仿宋_GB2312" w:hAnsi="仿宋_GB2312" w:eastAsia="仿宋_GB2312" w:cs="仿宋_GB2312"/>
          <w:color w:val="auto"/>
          <w:kern w:val="0"/>
          <w:sz w:val="32"/>
          <w:szCs w:val="32"/>
          <w:highlight w:val="none"/>
        </w:rPr>
        <w:t>万元，其中</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城乡居民养老保险基金支出</w:t>
      </w:r>
      <w:r>
        <w:rPr>
          <w:rFonts w:hint="eastAsia" w:ascii="仿宋_GB2312" w:hAnsi="仿宋_GB2312" w:eastAsia="仿宋_GB2312" w:cs="仿宋_GB2312"/>
          <w:color w:val="auto"/>
          <w:kern w:val="0"/>
          <w:sz w:val="32"/>
          <w:szCs w:val="32"/>
          <w:highlight w:val="none"/>
          <w:lang w:val="en-US" w:eastAsia="zh-CN"/>
        </w:rPr>
        <w:t>17195</w:t>
      </w:r>
      <w:r>
        <w:rPr>
          <w:rFonts w:hint="eastAsia" w:ascii="仿宋_GB2312" w:hAnsi="仿宋_GB2312" w:eastAsia="仿宋_GB2312" w:cs="仿宋_GB2312"/>
          <w:color w:val="auto"/>
          <w:kern w:val="0"/>
          <w:sz w:val="32"/>
          <w:szCs w:val="32"/>
          <w:highlight w:val="none"/>
        </w:rPr>
        <w:t>万元，机关事业单位养老保险基金支出</w:t>
      </w:r>
      <w:r>
        <w:rPr>
          <w:rFonts w:hint="eastAsia" w:ascii="仿宋_GB2312" w:hAnsi="仿宋_GB2312" w:eastAsia="仿宋_GB2312" w:cs="仿宋_GB2312"/>
          <w:color w:val="auto"/>
          <w:kern w:val="0"/>
          <w:sz w:val="32"/>
          <w:szCs w:val="32"/>
          <w:highlight w:val="none"/>
          <w:lang w:val="en-US" w:eastAsia="zh-CN"/>
        </w:rPr>
        <w:t>37722</w:t>
      </w:r>
      <w:r>
        <w:rPr>
          <w:rFonts w:hint="eastAsia" w:ascii="仿宋_GB2312" w:hAnsi="仿宋_GB2312" w:eastAsia="仿宋_GB2312" w:cs="仿宋_GB2312"/>
          <w:color w:val="auto"/>
          <w:kern w:val="0"/>
          <w:sz w:val="32"/>
          <w:szCs w:val="32"/>
          <w:highlight w:val="none"/>
        </w:rPr>
        <w:t>万元。</w:t>
      </w:r>
    </w:p>
    <w:p w14:paraId="1F3BF667">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highlight w:val="cyan"/>
        </w:rPr>
      </w:pPr>
      <w:r>
        <w:rPr>
          <w:rFonts w:hint="eastAsia" w:ascii="仿宋_GB2312" w:hAnsi="仿宋_GB2312" w:eastAsia="仿宋_GB2312" w:cs="仿宋_GB2312"/>
          <w:color w:val="auto"/>
          <w:kern w:val="0"/>
          <w:sz w:val="32"/>
          <w:szCs w:val="32"/>
        </w:rPr>
        <w:t>全县社会保险基金</w:t>
      </w:r>
      <w:r>
        <w:rPr>
          <w:rFonts w:hint="eastAsia" w:ascii="仿宋_GB2312" w:hAnsi="仿宋_GB2312" w:eastAsia="仿宋_GB2312" w:cs="仿宋_GB2312"/>
          <w:color w:val="auto"/>
          <w:kern w:val="0"/>
          <w:sz w:val="32"/>
          <w:szCs w:val="32"/>
          <w:lang w:eastAsia="zh-CN"/>
        </w:rPr>
        <w:t>预算</w:t>
      </w:r>
      <w:r>
        <w:rPr>
          <w:rFonts w:hint="eastAsia" w:ascii="仿宋_GB2312" w:hAnsi="仿宋_GB2312" w:eastAsia="仿宋_GB2312" w:cs="仿宋_GB2312"/>
          <w:color w:val="auto"/>
          <w:kern w:val="0"/>
          <w:sz w:val="32"/>
          <w:szCs w:val="32"/>
        </w:rPr>
        <w:t>收支相抵，滚存结余</w:t>
      </w:r>
      <w:r>
        <w:rPr>
          <w:rFonts w:hint="eastAsia" w:ascii="仿宋_GB2312" w:hAnsi="仿宋_GB2312" w:eastAsia="仿宋_GB2312" w:cs="仿宋_GB2312"/>
          <w:color w:val="auto"/>
          <w:kern w:val="0"/>
          <w:sz w:val="32"/>
          <w:szCs w:val="32"/>
          <w:lang w:val="en-US" w:eastAsia="zh-CN"/>
        </w:rPr>
        <w:t>66385</w:t>
      </w:r>
      <w:r>
        <w:rPr>
          <w:rFonts w:hint="eastAsia" w:ascii="仿宋_GB2312" w:hAnsi="仿宋_GB2312" w:eastAsia="仿宋_GB2312" w:cs="仿宋_GB2312"/>
          <w:color w:val="auto"/>
          <w:kern w:val="0"/>
          <w:sz w:val="32"/>
          <w:szCs w:val="32"/>
        </w:rPr>
        <w:t>万元。</w:t>
      </w:r>
    </w:p>
    <w:p w14:paraId="014CBF43">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s="Times New Roman"/>
          <w:color w:val="auto"/>
          <w:kern w:val="0"/>
          <w:sz w:val="32"/>
          <w:szCs w:val="32"/>
          <w:lang w:eastAsia="zh-CN"/>
        </w:rPr>
      </w:pPr>
      <w:r>
        <w:rPr>
          <w:rFonts w:hint="eastAsia" w:ascii="Times New Roman" w:hAnsi="Times New Roman" w:eastAsia="楷体_GB2312" w:cs="Times New Roman"/>
          <w:color w:val="auto"/>
          <w:kern w:val="0"/>
          <w:sz w:val="32"/>
          <w:szCs w:val="32"/>
        </w:rPr>
        <w:t>（四）国有资本经营</w:t>
      </w:r>
      <w:r>
        <w:rPr>
          <w:rFonts w:hint="eastAsia" w:ascii="Times New Roman" w:hAnsi="Times New Roman" w:eastAsia="楷体_GB2312" w:cs="Times New Roman"/>
          <w:color w:val="auto"/>
          <w:kern w:val="0"/>
          <w:sz w:val="32"/>
          <w:szCs w:val="32"/>
          <w:lang w:eastAsia="zh-CN"/>
        </w:rPr>
        <w:t>预算收支</w:t>
      </w:r>
      <w:r>
        <w:rPr>
          <w:rFonts w:hint="eastAsia" w:ascii="Times New Roman" w:hAnsi="Times New Roman" w:eastAsia="楷体_GB2312" w:cs="Times New Roman"/>
          <w:color w:val="auto"/>
          <w:kern w:val="0"/>
          <w:sz w:val="32"/>
          <w:szCs w:val="32"/>
        </w:rPr>
        <w:t>决算情况</w:t>
      </w:r>
    </w:p>
    <w:p w14:paraId="51ECFA7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outlineLvl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全县国有资本经营</w:t>
      </w:r>
      <w:r>
        <w:rPr>
          <w:rFonts w:hint="eastAsia" w:ascii="仿宋_GB2312" w:hAnsi="仿宋_GB2312" w:eastAsia="仿宋_GB2312" w:cs="仿宋_GB2312"/>
          <w:color w:val="auto"/>
          <w:kern w:val="0"/>
          <w:sz w:val="32"/>
          <w:szCs w:val="32"/>
          <w:lang w:eastAsia="zh-CN"/>
        </w:rPr>
        <w:t>收入总量</w:t>
      </w:r>
      <w:r>
        <w:rPr>
          <w:rFonts w:hint="eastAsia" w:ascii="仿宋_GB2312" w:hAnsi="仿宋_GB2312" w:eastAsia="仿宋_GB2312" w:cs="仿宋_GB2312"/>
          <w:color w:val="auto"/>
          <w:kern w:val="0"/>
          <w:sz w:val="32"/>
          <w:szCs w:val="32"/>
          <w:lang w:val="en-US" w:eastAsia="zh-CN"/>
        </w:rPr>
        <w:t>6007</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rPr>
        <w:t>比年初人代会报告的</w:t>
      </w:r>
      <w:r>
        <w:rPr>
          <w:rFonts w:hint="eastAsia" w:ascii="仿宋_GB2312" w:hAnsi="仿宋_GB2312" w:eastAsia="仿宋_GB2312" w:cs="仿宋_GB2312"/>
          <w:color w:val="auto"/>
          <w:sz w:val="32"/>
          <w:szCs w:val="32"/>
          <w:lang w:eastAsia="zh-CN"/>
        </w:rPr>
        <w:t>执行数</w:t>
      </w:r>
      <w:r>
        <w:rPr>
          <w:rFonts w:hint="eastAsia" w:ascii="仿宋_GB2312" w:hAnsi="仿宋_GB2312" w:eastAsia="仿宋_GB2312" w:cs="仿宋_GB2312"/>
          <w:color w:val="auto"/>
          <w:sz w:val="32"/>
          <w:szCs w:val="32"/>
        </w:rPr>
        <w:t>增加</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0"/>
          <w:sz w:val="32"/>
          <w:szCs w:val="32"/>
        </w:rPr>
        <w:t>其中：本级</w:t>
      </w:r>
      <w:r>
        <w:rPr>
          <w:rFonts w:hint="eastAsia" w:ascii="仿宋_GB2312" w:hAnsi="仿宋_GB2312" w:eastAsia="仿宋_GB2312" w:cs="仿宋_GB2312"/>
          <w:color w:val="auto"/>
          <w:kern w:val="0"/>
          <w:sz w:val="32"/>
          <w:szCs w:val="32"/>
          <w:lang w:eastAsia="zh-CN"/>
        </w:rPr>
        <w:t>国有资本经营</w:t>
      </w:r>
      <w:r>
        <w:rPr>
          <w:rFonts w:hint="eastAsia" w:ascii="仿宋_GB2312" w:hAnsi="仿宋_GB2312" w:eastAsia="仿宋_GB2312" w:cs="仿宋_GB2312"/>
          <w:color w:val="auto"/>
          <w:kern w:val="0"/>
          <w:sz w:val="32"/>
          <w:szCs w:val="32"/>
        </w:rPr>
        <w:t>收入</w:t>
      </w:r>
      <w:r>
        <w:rPr>
          <w:rFonts w:hint="eastAsia" w:ascii="仿宋_GB2312" w:hAnsi="仿宋_GB2312" w:eastAsia="仿宋_GB2312" w:cs="仿宋_GB2312"/>
          <w:color w:val="auto"/>
          <w:kern w:val="0"/>
          <w:sz w:val="32"/>
          <w:szCs w:val="32"/>
          <w:lang w:val="en-US" w:eastAsia="zh-CN"/>
        </w:rPr>
        <w:t>5862</w:t>
      </w:r>
      <w:r>
        <w:rPr>
          <w:rFonts w:hint="eastAsia" w:ascii="仿宋_GB2312" w:hAnsi="仿宋_GB2312" w:eastAsia="仿宋_GB2312" w:cs="仿宋_GB2312"/>
          <w:color w:val="auto"/>
          <w:kern w:val="0"/>
          <w:sz w:val="32"/>
          <w:szCs w:val="32"/>
        </w:rPr>
        <w:t>万元；专项转移支付收入</w:t>
      </w: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rPr>
        <w:t>比</w:t>
      </w:r>
      <w:r>
        <w:rPr>
          <w:rFonts w:hint="eastAsia" w:ascii="仿宋_GB2312" w:hAnsi="仿宋_GB2312" w:eastAsia="仿宋_GB2312" w:cs="仿宋_GB2312"/>
          <w:color w:val="auto"/>
          <w:sz w:val="32"/>
          <w:szCs w:val="32"/>
          <w:lang w:eastAsia="zh-CN"/>
        </w:rPr>
        <w:t>执行数</w:t>
      </w:r>
      <w:r>
        <w:rPr>
          <w:rFonts w:hint="eastAsia" w:ascii="仿宋_GB2312" w:hAnsi="仿宋_GB2312" w:eastAsia="仿宋_GB2312" w:cs="仿宋_GB2312"/>
          <w:color w:val="auto"/>
          <w:sz w:val="32"/>
          <w:szCs w:val="32"/>
          <w:highlight w:val="none"/>
          <w:lang w:eastAsia="zh-CN"/>
        </w:rPr>
        <w:t>增加</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kern w:val="0"/>
          <w:sz w:val="32"/>
          <w:szCs w:val="32"/>
        </w:rPr>
        <w:t>；上年</w:t>
      </w:r>
      <w:r>
        <w:rPr>
          <w:rFonts w:hint="eastAsia" w:ascii="仿宋_GB2312" w:hAnsi="仿宋_GB2312" w:eastAsia="仿宋_GB2312" w:cs="仿宋_GB2312"/>
          <w:color w:val="auto"/>
          <w:kern w:val="0"/>
          <w:sz w:val="32"/>
          <w:szCs w:val="32"/>
          <w:lang w:eastAsia="zh-CN"/>
        </w:rPr>
        <w:t>结余</w:t>
      </w:r>
      <w:r>
        <w:rPr>
          <w:rFonts w:hint="eastAsia" w:ascii="仿宋_GB2312" w:hAnsi="仿宋_GB2312" w:eastAsia="仿宋_GB2312" w:cs="仿宋_GB2312"/>
          <w:color w:val="auto"/>
          <w:kern w:val="0"/>
          <w:sz w:val="32"/>
          <w:szCs w:val="32"/>
          <w:lang w:val="en-US" w:eastAsia="zh-CN"/>
        </w:rPr>
        <w:t>133</w:t>
      </w:r>
      <w:r>
        <w:rPr>
          <w:rFonts w:hint="eastAsia" w:ascii="仿宋_GB2312" w:hAnsi="仿宋_GB2312" w:eastAsia="仿宋_GB2312" w:cs="仿宋_GB2312"/>
          <w:color w:val="auto"/>
          <w:kern w:val="0"/>
          <w:sz w:val="32"/>
          <w:szCs w:val="32"/>
        </w:rPr>
        <w:t>万元。</w:t>
      </w:r>
    </w:p>
    <w:p w14:paraId="4E31E81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全县国有资本经营支出</w:t>
      </w:r>
      <w:r>
        <w:rPr>
          <w:rFonts w:hint="eastAsia" w:ascii="仿宋_GB2312" w:hAnsi="仿宋_GB2312" w:eastAsia="仿宋_GB2312" w:cs="仿宋_GB2312"/>
          <w:color w:val="auto"/>
          <w:kern w:val="0"/>
          <w:sz w:val="32"/>
          <w:szCs w:val="32"/>
          <w:lang w:eastAsia="zh-CN"/>
        </w:rPr>
        <w:t>总量</w:t>
      </w:r>
      <w:r>
        <w:rPr>
          <w:rFonts w:hint="eastAsia" w:ascii="仿宋_GB2312" w:hAnsi="仿宋_GB2312" w:eastAsia="仿宋_GB2312" w:cs="仿宋_GB2312"/>
          <w:color w:val="auto"/>
          <w:kern w:val="0"/>
          <w:sz w:val="32"/>
          <w:szCs w:val="32"/>
          <w:lang w:val="en-US" w:eastAsia="zh-CN"/>
        </w:rPr>
        <w:t>6005</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其中：</w:t>
      </w:r>
      <w:r>
        <w:rPr>
          <w:rFonts w:hint="eastAsia" w:ascii="仿宋_GB2312" w:hAnsi="仿宋_GB2312" w:eastAsia="仿宋_GB2312" w:cs="仿宋_GB2312"/>
          <w:color w:val="auto"/>
          <w:kern w:val="0"/>
          <w:sz w:val="32"/>
          <w:szCs w:val="32"/>
        </w:rPr>
        <w:t>本级</w:t>
      </w:r>
      <w:r>
        <w:rPr>
          <w:rFonts w:hint="eastAsia" w:ascii="仿宋_GB2312" w:hAnsi="仿宋_GB2312" w:eastAsia="仿宋_GB2312" w:cs="仿宋_GB2312"/>
          <w:color w:val="auto"/>
          <w:kern w:val="0"/>
          <w:sz w:val="32"/>
          <w:szCs w:val="32"/>
          <w:lang w:eastAsia="zh-CN"/>
        </w:rPr>
        <w:t>国有资本经营支出</w:t>
      </w:r>
      <w:r>
        <w:rPr>
          <w:rFonts w:hint="eastAsia" w:ascii="仿宋_GB2312" w:hAnsi="仿宋_GB2312" w:eastAsia="仿宋_GB2312" w:cs="仿宋_GB2312"/>
          <w:color w:val="auto"/>
          <w:kern w:val="0"/>
          <w:sz w:val="32"/>
          <w:szCs w:val="32"/>
          <w:lang w:val="en-US" w:eastAsia="zh-CN"/>
        </w:rPr>
        <w:t>3427</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调</w:t>
      </w:r>
      <w:r>
        <w:rPr>
          <w:rFonts w:hint="eastAsia" w:ascii="仿宋_GB2312" w:hAnsi="仿宋_GB2312" w:eastAsia="仿宋_GB2312" w:cs="仿宋_GB2312"/>
          <w:color w:val="auto"/>
          <w:kern w:val="0"/>
          <w:sz w:val="32"/>
          <w:szCs w:val="32"/>
          <w:lang w:eastAsia="zh-CN"/>
        </w:rPr>
        <w:t>出资金</w:t>
      </w:r>
      <w:r>
        <w:rPr>
          <w:rFonts w:hint="eastAsia" w:ascii="仿宋_GB2312" w:hAnsi="仿宋_GB2312" w:eastAsia="仿宋_GB2312" w:cs="仿宋_GB2312"/>
          <w:color w:val="auto"/>
          <w:kern w:val="0"/>
          <w:sz w:val="32"/>
          <w:szCs w:val="32"/>
          <w:lang w:val="en-US" w:eastAsia="zh-CN"/>
        </w:rPr>
        <w:t>2578</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p>
    <w:p w14:paraId="7A0A48E0">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outlineLvl w:val="0"/>
        <w:rPr>
          <w:rFonts w:ascii="Times New Roman" w:hAnsi="Times New Roman" w:eastAsia="仿宋_GB2312"/>
          <w:color w:val="auto"/>
          <w:kern w:val="0"/>
          <w:sz w:val="32"/>
          <w:szCs w:val="32"/>
        </w:rPr>
      </w:pPr>
      <w:r>
        <w:rPr>
          <w:rFonts w:hint="eastAsia" w:ascii="仿宋_GB2312" w:hAnsi="仿宋_GB2312" w:eastAsia="仿宋_GB2312" w:cs="仿宋_GB2312"/>
          <w:color w:val="auto"/>
          <w:kern w:val="0"/>
          <w:sz w:val="32"/>
          <w:szCs w:val="32"/>
        </w:rPr>
        <w:t>全县</w:t>
      </w:r>
      <w:r>
        <w:rPr>
          <w:rFonts w:hint="eastAsia" w:ascii="仿宋_GB2312" w:hAnsi="仿宋_GB2312" w:eastAsia="仿宋_GB2312" w:cs="仿宋_GB2312"/>
          <w:color w:val="auto"/>
          <w:kern w:val="0"/>
          <w:sz w:val="32"/>
          <w:szCs w:val="32"/>
          <w:lang w:eastAsia="zh-CN"/>
        </w:rPr>
        <w:t>国有资本经营预算</w:t>
      </w:r>
      <w:r>
        <w:rPr>
          <w:rFonts w:hint="eastAsia" w:ascii="仿宋_GB2312" w:hAnsi="仿宋_GB2312" w:eastAsia="仿宋_GB2312" w:cs="仿宋_GB2312"/>
          <w:color w:val="auto"/>
          <w:kern w:val="0"/>
          <w:sz w:val="32"/>
          <w:szCs w:val="32"/>
        </w:rPr>
        <w:t>收支相抵，结转下年</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万元。</w:t>
      </w:r>
    </w:p>
    <w:p w14:paraId="10ED1E57">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ascii="Times New Roman" w:hAnsi="Times New Roman" w:eastAsia="黑体"/>
          <w:color w:val="auto"/>
          <w:sz w:val="32"/>
          <w:szCs w:val="32"/>
        </w:rPr>
      </w:pPr>
      <w:r>
        <w:rPr>
          <w:rFonts w:hint="eastAsia" w:ascii="Times New Roman" w:hAnsi="Times New Roman" w:eastAsia="黑体"/>
          <w:color w:val="auto"/>
          <w:sz w:val="32"/>
          <w:szCs w:val="32"/>
        </w:rPr>
        <w:t>二、202</w:t>
      </w:r>
      <w:r>
        <w:rPr>
          <w:rFonts w:hint="eastAsia" w:ascii="Times New Roman" w:hAnsi="Times New Roman" w:eastAsia="黑体"/>
          <w:color w:val="auto"/>
          <w:sz w:val="32"/>
          <w:szCs w:val="32"/>
          <w:lang w:val="en-US" w:eastAsia="zh-CN"/>
        </w:rPr>
        <w:t>5</w:t>
      </w:r>
      <w:r>
        <w:rPr>
          <w:rFonts w:hint="eastAsia" w:ascii="Times New Roman" w:hAnsi="Times New Roman" w:eastAsia="黑体"/>
          <w:color w:val="auto"/>
          <w:sz w:val="32"/>
          <w:szCs w:val="32"/>
        </w:rPr>
        <w:t>年上半年</w:t>
      </w:r>
      <w:r>
        <w:rPr>
          <w:rFonts w:hint="eastAsia" w:ascii="Times New Roman" w:hAnsi="Times New Roman" w:eastAsia="黑体"/>
          <w:color w:val="auto"/>
          <w:sz w:val="32"/>
          <w:szCs w:val="32"/>
          <w:lang w:eastAsia="zh-CN"/>
        </w:rPr>
        <w:t>财政</w:t>
      </w:r>
      <w:r>
        <w:rPr>
          <w:rFonts w:hint="eastAsia" w:ascii="Times New Roman" w:hAnsi="Times New Roman" w:eastAsia="黑体"/>
          <w:color w:val="auto"/>
          <w:sz w:val="32"/>
          <w:szCs w:val="32"/>
        </w:rPr>
        <w:t>预算执行情况</w:t>
      </w:r>
    </w:p>
    <w:p w14:paraId="25D31C32">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s="Times New Roman"/>
          <w:color w:val="auto"/>
          <w:kern w:val="0"/>
          <w:sz w:val="32"/>
          <w:szCs w:val="32"/>
          <w:lang w:eastAsia="zh-CN"/>
        </w:rPr>
      </w:pPr>
      <w:r>
        <w:rPr>
          <w:rFonts w:hint="eastAsia" w:ascii="Times New Roman" w:hAnsi="Times New Roman" w:eastAsia="楷体_GB2312" w:cs="Times New Roman"/>
          <w:color w:val="auto"/>
          <w:kern w:val="0"/>
          <w:sz w:val="32"/>
          <w:szCs w:val="32"/>
        </w:rPr>
        <w:t>（一）一般公共预算执行情况</w:t>
      </w:r>
    </w:p>
    <w:p w14:paraId="13ED3420">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地方一般公共预算收入完成</w:t>
      </w:r>
      <w:r>
        <w:rPr>
          <w:rFonts w:hint="eastAsia" w:ascii="仿宋_GB2312" w:hAnsi="仿宋_GB2312" w:eastAsia="仿宋_GB2312" w:cs="仿宋_GB2312"/>
          <w:color w:val="auto"/>
          <w:sz w:val="32"/>
          <w:szCs w:val="32"/>
          <w:lang w:val="en-US" w:eastAsia="zh-CN"/>
        </w:rPr>
        <w:t>47704</w:t>
      </w:r>
      <w:r>
        <w:rPr>
          <w:rFonts w:hint="eastAsia" w:ascii="仿宋_GB2312" w:hAnsi="仿宋_GB2312" w:eastAsia="仿宋_GB2312" w:cs="仿宋_GB2312"/>
          <w:color w:val="auto"/>
          <w:sz w:val="32"/>
          <w:szCs w:val="32"/>
        </w:rPr>
        <w:t>万元，占年初</w:t>
      </w:r>
      <w:r>
        <w:rPr>
          <w:rFonts w:hint="eastAsia" w:ascii="仿宋_GB2312" w:hAnsi="仿宋_GB2312" w:eastAsia="仿宋_GB2312" w:cs="仿宋_GB2312"/>
          <w:color w:val="auto"/>
          <w:sz w:val="32"/>
          <w:szCs w:val="32"/>
          <w:lang w:eastAsia="zh-CN"/>
        </w:rPr>
        <w:t>预算数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53.00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同比增长10.29%</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rPr>
        <w:t>按</w:t>
      </w:r>
      <w:r>
        <w:rPr>
          <w:rFonts w:hint="eastAsia" w:ascii="仿宋_GB2312" w:hAnsi="仿宋_GB2312" w:eastAsia="仿宋_GB2312" w:cs="仿宋_GB2312"/>
          <w:color w:val="auto"/>
          <w:sz w:val="32"/>
          <w:szCs w:val="32"/>
          <w:lang w:val="en-US" w:eastAsia="zh-CN"/>
        </w:rPr>
        <w:t>收入</w:t>
      </w:r>
      <w:r>
        <w:rPr>
          <w:rFonts w:hint="eastAsia" w:ascii="仿宋_GB2312" w:hAnsi="仿宋_GB2312" w:eastAsia="仿宋_GB2312" w:cs="仿宋_GB2312"/>
          <w:color w:val="auto"/>
          <w:sz w:val="32"/>
          <w:szCs w:val="32"/>
        </w:rPr>
        <w:t>项目分为：</w:t>
      </w:r>
      <w:r>
        <w:rPr>
          <w:rFonts w:hint="eastAsia" w:ascii="仿宋_GB2312" w:hAnsi="仿宋_GB2312" w:eastAsia="仿宋_GB2312" w:cs="仿宋_GB2312"/>
          <w:color w:val="auto"/>
          <w:sz w:val="32"/>
          <w:szCs w:val="32"/>
          <w:highlight w:val="none"/>
        </w:rPr>
        <w:t>税收收入完成</w:t>
      </w:r>
      <w:r>
        <w:rPr>
          <w:rFonts w:hint="eastAsia" w:ascii="仿宋_GB2312" w:hAnsi="仿宋_GB2312" w:eastAsia="仿宋_GB2312" w:cs="仿宋_GB2312"/>
          <w:color w:val="auto"/>
          <w:sz w:val="32"/>
          <w:szCs w:val="32"/>
          <w:highlight w:val="none"/>
          <w:lang w:val="en-US" w:eastAsia="zh-CN"/>
        </w:rPr>
        <w:t>29232</w:t>
      </w:r>
      <w:r>
        <w:rPr>
          <w:rFonts w:hint="eastAsia" w:ascii="仿宋_GB2312" w:hAnsi="仿宋_GB2312" w:eastAsia="仿宋_GB2312" w:cs="仿宋_GB2312"/>
          <w:color w:val="auto"/>
          <w:sz w:val="32"/>
          <w:szCs w:val="32"/>
          <w:highlight w:val="none"/>
        </w:rPr>
        <w:t>万元，占计划的</w:t>
      </w:r>
      <w:r>
        <w:rPr>
          <w:rFonts w:hint="eastAsia" w:ascii="仿宋_GB2312" w:hAnsi="仿宋_GB2312" w:eastAsia="仿宋_GB2312" w:cs="仿宋_GB2312"/>
          <w:color w:val="auto"/>
          <w:sz w:val="32"/>
          <w:szCs w:val="32"/>
          <w:highlight w:val="none"/>
          <w:lang w:val="en-US" w:eastAsia="zh-CN"/>
        </w:rPr>
        <w:t>51.28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同比增长</w:t>
      </w:r>
      <w:r>
        <w:rPr>
          <w:rFonts w:hint="eastAsia" w:ascii="仿宋_GB2312" w:hAnsi="仿宋_GB2312" w:eastAsia="仿宋_GB2312" w:cs="仿宋_GB2312"/>
          <w:color w:val="auto"/>
          <w:sz w:val="32"/>
          <w:szCs w:val="32"/>
          <w:highlight w:val="none"/>
          <w:lang w:val="en-US" w:eastAsia="zh-CN"/>
        </w:rPr>
        <w:t>12.21%</w:t>
      </w:r>
      <w:r>
        <w:rPr>
          <w:rFonts w:hint="eastAsia" w:ascii="仿宋_GB2312" w:hAnsi="仿宋_GB2312" w:eastAsia="仿宋_GB2312" w:cs="仿宋_GB2312"/>
          <w:color w:val="auto"/>
          <w:sz w:val="32"/>
          <w:szCs w:val="32"/>
          <w:highlight w:val="none"/>
        </w:rPr>
        <w:t>；非税收入完成</w:t>
      </w:r>
      <w:r>
        <w:rPr>
          <w:rFonts w:hint="eastAsia" w:ascii="仿宋_GB2312" w:hAnsi="仿宋_GB2312" w:eastAsia="仿宋_GB2312" w:cs="仿宋_GB2312"/>
          <w:color w:val="auto"/>
          <w:sz w:val="32"/>
          <w:szCs w:val="32"/>
          <w:highlight w:val="none"/>
          <w:lang w:val="en-US" w:eastAsia="zh-CN"/>
        </w:rPr>
        <w:t>18472</w:t>
      </w:r>
      <w:r>
        <w:rPr>
          <w:rFonts w:hint="eastAsia" w:ascii="仿宋_GB2312" w:hAnsi="仿宋_GB2312" w:eastAsia="仿宋_GB2312" w:cs="仿宋_GB2312"/>
          <w:color w:val="auto"/>
          <w:sz w:val="32"/>
          <w:szCs w:val="32"/>
          <w:highlight w:val="none"/>
        </w:rPr>
        <w:t>万元，占计划的</w:t>
      </w:r>
      <w:r>
        <w:rPr>
          <w:rFonts w:hint="eastAsia" w:ascii="仿宋_GB2312" w:hAnsi="仿宋_GB2312" w:eastAsia="仿宋_GB2312" w:cs="仿宋_GB2312"/>
          <w:color w:val="auto"/>
          <w:sz w:val="32"/>
          <w:szCs w:val="32"/>
          <w:highlight w:val="none"/>
          <w:lang w:val="en-US" w:eastAsia="zh-CN"/>
        </w:rPr>
        <w:t>55.98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同比增长</w:t>
      </w:r>
      <w:r>
        <w:rPr>
          <w:rFonts w:hint="eastAsia" w:ascii="仿宋_GB2312" w:hAnsi="仿宋_GB2312" w:eastAsia="仿宋_GB2312" w:cs="仿宋_GB2312"/>
          <w:color w:val="auto"/>
          <w:sz w:val="32"/>
          <w:szCs w:val="32"/>
          <w:highlight w:val="none"/>
          <w:lang w:val="en-US" w:eastAsia="zh-CN"/>
        </w:rPr>
        <w:t>7.37%</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lang w:val="en-US" w:eastAsia="zh-CN"/>
        </w:rPr>
        <w:t>税收占比</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sz w:val="32"/>
          <w:szCs w:val="32"/>
          <w:lang w:val="en-US" w:eastAsia="zh-CN"/>
        </w:rPr>
        <w:t>61.28</w:t>
      </w:r>
      <w:r>
        <w:rPr>
          <w:rFonts w:hint="eastAsia" w:ascii="仿宋_GB2312" w:hAnsi="仿宋_GB2312" w:eastAsia="仿宋_GB2312" w:cs="仿宋_GB2312"/>
          <w:color w:val="auto"/>
          <w:sz w:val="32"/>
          <w:szCs w:val="32"/>
        </w:rPr>
        <w:t>%。</w:t>
      </w:r>
    </w:p>
    <w:p w14:paraId="338502E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地方</w:t>
      </w:r>
      <w:r>
        <w:rPr>
          <w:rFonts w:hint="eastAsia" w:ascii="仿宋_GB2312" w:hAnsi="仿宋_GB2312" w:eastAsia="仿宋_GB2312" w:cs="仿宋_GB2312"/>
          <w:color w:val="auto"/>
          <w:sz w:val="32"/>
          <w:szCs w:val="32"/>
        </w:rPr>
        <w:t>一般公共预算支出完成</w:t>
      </w:r>
      <w:r>
        <w:rPr>
          <w:rFonts w:hint="eastAsia" w:ascii="仿宋_GB2312" w:hAnsi="仿宋_GB2312" w:eastAsia="仿宋_GB2312" w:cs="仿宋_GB2312"/>
          <w:color w:val="auto"/>
          <w:sz w:val="32"/>
          <w:szCs w:val="32"/>
          <w:lang w:val="en-US" w:eastAsia="zh-CN"/>
        </w:rPr>
        <w:t>190051</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eastAsia="zh-CN"/>
        </w:rPr>
        <w:t>年初预算</w:t>
      </w:r>
      <w:r>
        <w:rPr>
          <w:rFonts w:hint="eastAsia" w:ascii="仿宋_GB2312" w:hAnsi="仿宋_GB2312" w:eastAsia="仿宋_GB2312" w:cs="仿宋_GB2312"/>
          <w:color w:val="auto"/>
          <w:sz w:val="32"/>
          <w:szCs w:val="32"/>
        </w:rPr>
        <w:t>数的</w:t>
      </w:r>
      <w:r>
        <w:rPr>
          <w:rFonts w:hint="eastAsia" w:ascii="仿宋_GB2312" w:hAnsi="仿宋_GB2312" w:eastAsia="仿宋_GB2312" w:cs="仿宋_GB2312"/>
          <w:color w:val="auto"/>
          <w:sz w:val="32"/>
          <w:szCs w:val="32"/>
          <w:lang w:val="en-US" w:eastAsia="zh-CN"/>
        </w:rPr>
        <w:t>53.54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按科目完成情况分别为：一般公共服务支出</w:t>
      </w:r>
      <w:r>
        <w:rPr>
          <w:rFonts w:hint="eastAsia" w:ascii="仿宋_GB2312" w:hAnsi="仿宋_GB2312" w:eastAsia="仿宋_GB2312" w:cs="仿宋_GB2312"/>
          <w:color w:val="auto"/>
          <w:sz w:val="32"/>
          <w:szCs w:val="32"/>
          <w:lang w:val="en-US" w:eastAsia="zh-CN"/>
        </w:rPr>
        <w:t>25163</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44.81</w:t>
      </w:r>
      <w:r>
        <w:rPr>
          <w:rFonts w:hint="eastAsia" w:ascii="仿宋_GB2312" w:hAnsi="仿宋_GB2312" w:eastAsia="仿宋_GB2312" w:cs="仿宋_GB2312"/>
          <w:color w:val="auto"/>
          <w:sz w:val="32"/>
          <w:szCs w:val="32"/>
        </w:rPr>
        <w:t>%；公共安全支出</w:t>
      </w:r>
      <w:r>
        <w:rPr>
          <w:rFonts w:hint="eastAsia" w:ascii="仿宋_GB2312" w:hAnsi="仿宋_GB2312" w:eastAsia="仿宋_GB2312" w:cs="仿宋_GB2312"/>
          <w:color w:val="auto"/>
          <w:sz w:val="32"/>
          <w:szCs w:val="32"/>
          <w:lang w:val="en-US" w:eastAsia="zh-CN"/>
        </w:rPr>
        <w:t>5888</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46.50</w:t>
      </w:r>
      <w:r>
        <w:rPr>
          <w:rFonts w:hint="eastAsia" w:ascii="仿宋_GB2312" w:hAnsi="仿宋_GB2312" w:eastAsia="仿宋_GB2312" w:cs="仿宋_GB2312"/>
          <w:color w:val="auto"/>
          <w:sz w:val="32"/>
          <w:szCs w:val="32"/>
        </w:rPr>
        <w:t>%；教育支出</w:t>
      </w:r>
      <w:r>
        <w:rPr>
          <w:rFonts w:hint="eastAsia" w:ascii="仿宋_GB2312" w:hAnsi="仿宋_GB2312" w:eastAsia="仿宋_GB2312" w:cs="仿宋_GB2312"/>
          <w:color w:val="auto"/>
          <w:sz w:val="32"/>
          <w:szCs w:val="32"/>
          <w:lang w:val="en-US" w:eastAsia="zh-CN"/>
        </w:rPr>
        <w:t>35702</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51.83</w:t>
      </w:r>
      <w:r>
        <w:rPr>
          <w:rFonts w:hint="eastAsia" w:ascii="仿宋_GB2312" w:hAnsi="仿宋_GB2312" w:eastAsia="仿宋_GB2312" w:cs="仿宋_GB2312"/>
          <w:color w:val="auto"/>
          <w:sz w:val="32"/>
          <w:szCs w:val="32"/>
        </w:rPr>
        <w:t>%；科学技术支出</w:t>
      </w:r>
      <w:r>
        <w:rPr>
          <w:rFonts w:hint="eastAsia" w:ascii="仿宋_GB2312" w:hAnsi="仿宋_GB2312" w:eastAsia="仿宋_GB2312" w:cs="仿宋_GB2312"/>
          <w:color w:val="auto"/>
          <w:sz w:val="32"/>
          <w:szCs w:val="32"/>
          <w:lang w:val="en-US" w:eastAsia="zh-CN"/>
        </w:rPr>
        <w:t>1954</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22.24</w:t>
      </w:r>
      <w:r>
        <w:rPr>
          <w:rFonts w:hint="eastAsia" w:ascii="仿宋_GB2312" w:hAnsi="仿宋_GB2312" w:eastAsia="仿宋_GB2312" w:cs="仿宋_GB2312"/>
          <w:color w:val="auto"/>
          <w:sz w:val="32"/>
          <w:szCs w:val="32"/>
        </w:rPr>
        <w:t>%；文化旅游体育与传媒支出</w:t>
      </w:r>
      <w:r>
        <w:rPr>
          <w:rFonts w:hint="eastAsia" w:ascii="仿宋_GB2312" w:hAnsi="仿宋_GB2312" w:eastAsia="仿宋_GB2312" w:cs="仿宋_GB2312"/>
          <w:color w:val="auto"/>
          <w:sz w:val="32"/>
          <w:szCs w:val="32"/>
          <w:lang w:val="en-US" w:eastAsia="zh-CN"/>
        </w:rPr>
        <w:t>3165</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54.78</w:t>
      </w:r>
      <w:r>
        <w:rPr>
          <w:rFonts w:hint="eastAsia" w:ascii="仿宋_GB2312" w:hAnsi="仿宋_GB2312" w:eastAsia="仿宋_GB2312" w:cs="仿宋_GB2312"/>
          <w:color w:val="auto"/>
          <w:sz w:val="32"/>
          <w:szCs w:val="32"/>
        </w:rPr>
        <w:t>%；社会保障和就业支出</w:t>
      </w:r>
      <w:r>
        <w:rPr>
          <w:rFonts w:hint="eastAsia" w:ascii="仿宋_GB2312" w:hAnsi="仿宋_GB2312" w:eastAsia="仿宋_GB2312" w:cs="仿宋_GB2312"/>
          <w:color w:val="auto"/>
          <w:sz w:val="32"/>
          <w:szCs w:val="32"/>
          <w:lang w:val="en-US" w:eastAsia="zh-CN"/>
        </w:rPr>
        <w:t>19089</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41.04</w:t>
      </w:r>
      <w:r>
        <w:rPr>
          <w:rFonts w:hint="eastAsia" w:ascii="仿宋_GB2312" w:hAnsi="仿宋_GB2312" w:eastAsia="仿宋_GB2312" w:cs="仿宋_GB2312"/>
          <w:color w:val="auto"/>
          <w:sz w:val="32"/>
          <w:szCs w:val="32"/>
        </w:rPr>
        <w:t>%；卫生健康支出</w:t>
      </w:r>
      <w:r>
        <w:rPr>
          <w:rFonts w:hint="eastAsia" w:ascii="仿宋_GB2312" w:hAnsi="仿宋_GB2312" w:eastAsia="仿宋_GB2312" w:cs="仿宋_GB2312"/>
          <w:color w:val="auto"/>
          <w:sz w:val="32"/>
          <w:szCs w:val="32"/>
          <w:lang w:val="en-US" w:eastAsia="zh-CN"/>
        </w:rPr>
        <w:t>10470</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50.22</w:t>
      </w:r>
      <w:r>
        <w:rPr>
          <w:rFonts w:hint="eastAsia" w:ascii="仿宋_GB2312" w:hAnsi="仿宋_GB2312" w:eastAsia="仿宋_GB2312" w:cs="仿宋_GB2312"/>
          <w:color w:val="auto"/>
          <w:sz w:val="32"/>
          <w:szCs w:val="32"/>
        </w:rPr>
        <w:t>%；节能环保支出</w:t>
      </w:r>
      <w:r>
        <w:rPr>
          <w:rFonts w:hint="eastAsia" w:ascii="仿宋_GB2312" w:hAnsi="仿宋_GB2312" w:eastAsia="仿宋_GB2312" w:cs="仿宋_GB2312"/>
          <w:color w:val="auto"/>
          <w:sz w:val="32"/>
          <w:szCs w:val="32"/>
          <w:lang w:val="en-US" w:eastAsia="zh-CN"/>
        </w:rPr>
        <w:t>7991</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127.31</w:t>
      </w:r>
      <w:r>
        <w:rPr>
          <w:rFonts w:hint="eastAsia" w:ascii="仿宋_GB2312" w:hAnsi="仿宋_GB2312" w:eastAsia="仿宋_GB2312" w:cs="仿宋_GB2312"/>
          <w:color w:val="auto"/>
          <w:sz w:val="32"/>
          <w:szCs w:val="32"/>
        </w:rPr>
        <w:t>%；城乡社区支出</w:t>
      </w:r>
      <w:r>
        <w:rPr>
          <w:rFonts w:hint="eastAsia" w:ascii="仿宋_GB2312" w:hAnsi="仿宋_GB2312" w:eastAsia="仿宋_GB2312" w:cs="仿宋_GB2312"/>
          <w:color w:val="auto"/>
          <w:sz w:val="32"/>
          <w:szCs w:val="32"/>
          <w:lang w:val="en-US" w:eastAsia="zh-CN"/>
        </w:rPr>
        <w:t>24875</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183.80</w:t>
      </w:r>
      <w:r>
        <w:rPr>
          <w:rFonts w:hint="eastAsia" w:ascii="仿宋_GB2312" w:hAnsi="仿宋_GB2312" w:eastAsia="仿宋_GB2312" w:cs="仿宋_GB2312"/>
          <w:color w:val="auto"/>
          <w:sz w:val="32"/>
          <w:szCs w:val="32"/>
        </w:rPr>
        <w:t>%；农林水支出</w:t>
      </w:r>
      <w:r>
        <w:rPr>
          <w:rFonts w:hint="eastAsia" w:ascii="仿宋_GB2312" w:hAnsi="仿宋_GB2312" w:eastAsia="仿宋_GB2312" w:cs="仿宋_GB2312"/>
          <w:color w:val="auto"/>
          <w:sz w:val="32"/>
          <w:szCs w:val="32"/>
          <w:lang w:val="en-US" w:eastAsia="zh-CN"/>
        </w:rPr>
        <w:t>31515</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50.06</w:t>
      </w:r>
      <w:r>
        <w:rPr>
          <w:rFonts w:hint="eastAsia" w:ascii="仿宋_GB2312" w:hAnsi="仿宋_GB2312" w:eastAsia="仿宋_GB2312" w:cs="仿宋_GB2312"/>
          <w:color w:val="auto"/>
          <w:sz w:val="32"/>
          <w:szCs w:val="32"/>
        </w:rPr>
        <w:t>%；交通运输支出</w:t>
      </w:r>
      <w:r>
        <w:rPr>
          <w:rFonts w:hint="eastAsia" w:ascii="仿宋_GB2312" w:hAnsi="仿宋_GB2312" w:eastAsia="仿宋_GB2312" w:cs="仿宋_GB2312"/>
          <w:color w:val="auto"/>
          <w:sz w:val="32"/>
          <w:szCs w:val="32"/>
          <w:lang w:val="en-US" w:eastAsia="zh-CN"/>
        </w:rPr>
        <w:t>9572</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46.55</w:t>
      </w:r>
      <w:r>
        <w:rPr>
          <w:rFonts w:hint="eastAsia" w:ascii="仿宋_GB2312" w:hAnsi="仿宋_GB2312" w:eastAsia="仿宋_GB2312" w:cs="仿宋_GB2312"/>
          <w:color w:val="auto"/>
          <w:sz w:val="32"/>
          <w:szCs w:val="32"/>
        </w:rPr>
        <w:t>%；资源勘探工业信息等支出</w:t>
      </w:r>
      <w:r>
        <w:rPr>
          <w:rFonts w:hint="eastAsia" w:ascii="仿宋_GB2312" w:hAnsi="仿宋_GB2312" w:eastAsia="仿宋_GB2312" w:cs="仿宋_GB2312"/>
          <w:color w:val="auto"/>
          <w:sz w:val="32"/>
          <w:szCs w:val="32"/>
          <w:lang w:val="en-US" w:eastAsia="zh-CN"/>
        </w:rPr>
        <w:t>288</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56.47</w:t>
      </w:r>
      <w:r>
        <w:rPr>
          <w:rFonts w:hint="eastAsia" w:ascii="仿宋_GB2312" w:hAnsi="仿宋_GB2312" w:eastAsia="仿宋_GB2312" w:cs="仿宋_GB2312"/>
          <w:color w:val="auto"/>
          <w:sz w:val="32"/>
          <w:szCs w:val="32"/>
        </w:rPr>
        <w:t>%；商业服务业等支出</w:t>
      </w:r>
      <w:r>
        <w:rPr>
          <w:rFonts w:hint="eastAsia" w:ascii="仿宋_GB2312" w:hAnsi="仿宋_GB2312" w:eastAsia="仿宋_GB2312" w:cs="仿宋_GB2312"/>
          <w:color w:val="auto"/>
          <w:sz w:val="32"/>
          <w:szCs w:val="32"/>
          <w:lang w:val="en-US" w:eastAsia="zh-CN"/>
        </w:rPr>
        <w:t>694</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170.94</w:t>
      </w:r>
      <w:r>
        <w:rPr>
          <w:rFonts w:hint="eastAsia" w:ascii="仿宋_GB2312" w:hAnsi="仿宋_GB2312" w:eastAsia="仿宋_GB2312" w:cs="仿宋_GB2312"/>
          <w:color w:val="auto"/>
          <w:sz w:val="32"/>
          <w:szCs w:val="32"/>
        </w:rPr>
        <w:t>%；自然资源海洋气象</w:t>
      </w:r>
      <w:r>
        <w:rPr>
          <w:rFonts w:hint="eastAsia" w:ascii="仿宋_GB2312" w:hAnsi="仿宋_GB2312" w:eastAsia="仿宋_GB2312" w:cs="仿宋_GB2312"/>
          <w:color w:val="auto"/>
          <w:sz w:val="32"/>
          <w:szCs w:val="32"/>
          <w:lang w:eastAsia="zh-CN"/>
        </w:rPr>
        <w:t>等</w:t>
      </w:r>
      <w:r>
        <w:rPr>
          <w:rFonts w:hint="eastAsia" w:ascii="仿宋_GB2312" w:hAnsi="仿宋_GB2312" w:eastAsia="仿宋_GB2312" w:cs="仿宋_GB2312"/>
          <w:color w:val="auto"/>
          <w:sz w:val="32"/>
          <w:szCs w:val="32"/>
        </w:rPr>
        <w:t>支出</w:t>
      </w:r>
      <w:r>
        <w:rPr>
          <w:rFonts w:hint="eastAsia" w:ascii="仿宋_GB2312" w:hAnsi="仿宋_GB2312" w:eastAsia="仿宋_GB2312" w:cs="仿宋_GB2312"/>
          <w:color w:val="auto"/>
          <w:sz w:val="32"/>
          <w:szCs w:val="32"/>
          <w:lang w:val="en-US" w:eastAsia="zh-CN"/>
        </w:rPr>
        <w:t>2420</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47.37</w:t>
      </w:r>
      <w:r>
        <w:rPr>
          <w:rFonts w:hint="eastAsia" w:ascii="仿宋_GB2312" w:hAnsi="仿宋_GB2312" w:eastAsia="仿宋_GB2312" w:cs="仿宋_GB2312"/>
          <w:color w:val="auto"/>
          <w:sz w:val="32"/>
          <w:szCs w:val="32"/>
        </w:rPr>
        <w:t>%；住房保障支出</w:t>
      </w:r>
      <w:r>
        <w:rPr>
          <w:rFonts w:hint="eastAsia" w:ascii="仿宋_GB2312" w:hAnsi="仿宋_GB2312" w:eastAsia="仿宋_GB2312" w:cs="仿宋_GB2312"/>
          <w:color w:val="auto"/>
          <w:sz w:val="32"/>
          <w:szCs w:val="32"/>
          <w:lang w:val="en-US" w:eastAsia="zh-CN"/>
        </w:rPr>
        <w:t>2372</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22.30</w:t>
      </w:r>
      <w:r>
        <w:rPr>
          <w:rFonts w:hint="eastAsia" w:ascii="仿宋_GB2312" w:hAnsi="仿宋_GB2312" w:eastAsia="仿宋_GB2312" w:cs="仿宋_GB2312"/>
          <w:color w:val="auto"/>
          <w:sz w:val="32"/>
          <w:szCs w:val="32"/>
        </w:rPr>
        <w:t>%；粮油物资储备支出</w:t>
      </w:r>
      <w:r>
        <w:rPr>
          <w:rFonts w:hint="eastAsia" w:ascii="仿宋_GB2312" w:hAnsi="仿宋_GB2312" w:eastAsia="仿宋_GB2312" w:cs="仿宋_GB2312"/>
          <w:color w:val="auto"/>
          <w:sz w:val="32"/>
          <w:szCs w:val="32"/>
          <w:lang w:val="en-US" w:eastAsia="zh-CN"/>
        </w:rPr>
        <w:t>304万元，</w:t>
      </w:r>
      <w:r>
        <w:rPr>
          <w:rFonts w:hint="eastAsia" w:ascii="仿宋_GB2312" w:hAnsi="仿宋_GB2312" w:eastAsia="仿宋_GB2312" w:cs="仿宋_GB2312"/>
          <w:color w:val="auto"/>
          <w:sz w:val="32"/>
          <w:szCs w:val="32"/>
        </w:rPr>
        <w:t>占年初预算数</w:t>
      </w:r>
      <w:r>
        <w:rPr>
          <w:rFonts w:hint="eastAsia" w:ascii="仿宋_GB2312" w:hAnsi="仿宋_GB2312" w:eastAsia="仿宋_GB2312" w:cs="仿宋_GB2312"/>
          <w:color w:val="auto"/>
          <w:sz w:val="32"/>
          <w:szCs w:val="32"/>
          <w:lang w:val="en-US" w:eastAsia="zh-CN"/>
        </w:rPr>
        <w:t>61.66</w:t>
      </w:r>
      <w:r>
        <w:rPr>
          <w:rFonts w:hint="eastAsia" w:ascii="仿宋_GB2312" w:hAnsi="仿宋_GB2312" w:eastAsia="仿宋_GB2312" w:cs="仿宋_GB2312"/>
          <w:color w:val="auto"/>
          <w:sz w:val="32"/>
          <w:szCs w:val="32"/>
        </w:rPr>
        <w:t>%；灾害防治及应急管理支出</w:t>
      </w:r>
      <w:r>
        <w:rPr>
          <w:rFonts w:hint="eastAsia" w:ascii="仿宋_GB2312" w:hAnsi="仿宋_GB2312" w:eastAsia="仿宋_GB2312" w:cs="仿宋_GB2312"/>
          <w:color w:val="auto"/>
          <w:sz w:val="32"/>
          <w:szCs w:val="32"/>
          <w:lang w:val="en-US" w:eastAsia="zh-CN"/>
        </w:rPr>
        <w:t>4040</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98.11</w:t>
      </w:r>
      <w:r>
        <w:rPr>
          <w:rFonts w:hint="eastAsia" w:ascii="仿宋_GB2312" w:hAnsi="仿宋_GB2312" w:eastAsia="仿宋_GB2312" w:cs="仿宋_GB2312"/>
          <w:color w:val="auto"/>
          <w:sz w:val="32"/>
          <w:szCs w:val="32"/>
        </w:rPr>
        <w:t>%；债务付息支出</w:t>
      </w:r>
      <w:r>
        <w:rPr>
          <w:rFonts w:hint="eastAsia" w:ascii="仿宋_GB2312" w:hAnsi="仿宋_GB2312" w:eastAsia="仿宋_GB2312" w:cs="仿宋_GB2312"/>
          <w:color w:val="auto"/>
          <w:sz w:val="32"/>
          <w:szCs w:val="32"/>
          <w:lang w:val="en-US" w:eastAsia="zh-CN"/>
        </w:rPr>
        <w:t>4527</w:t>
      </w:r>
      <w:r>
        <w:rPr>
          <w:rFonts w:hint="eastAsia" w:ascii="仿宋_GB2312" w:hAnsi="仿宋_GB2312" w:eastAsia="仿宋_GB2312" w:cs="仿宋_GB2312"/>
          <w:color w:val="auto"/>
          <w:sz w:val="32"/>
          <w:szCs w:val="32"/>
        </w:rPr>
        <w:t>万元，占年初预算数</w:t>
      </w:r>
      <w:r>
        <w:rPr>
          <w:rFonts w:hint="eastAsia" w:ascii="仿宋_GB2312" w:hAnsi="仿宋_GB2312" w:eastAsia="仿宋_GB2312" w:cs="仿宋_GB2312"/>
          <w:color w:val="auto"/>
          <w:sz w:val="32"/>
          <w:szCs w:val="32"/>
          <w:lang w:val="en-US" w:eastAsia="zh-CN"/>
        </w:rPr>
        <w:t>64.67</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债务发行费支出</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lang w:eastAsia="zh-CN"/>
        </w:rPr>
        <w:t>万元</w:t>
      </w:r>
      <w:r>
        <w:rPr>
          <w:rFonts w:hint="eastAsia" w:ascii="仿宋_GB2312" w:hAnsi="仿宋_GB2312" w:eastAsia="仿宋_GB2312" w:cs="仿宋_GB2312"/>
          <w:color w:val="auto"/>
          <w:sz w:val="32"/>
          <w:szCs w:val="32"/>
        </w:rPr>
        <w:t>。</w:t>
      </w:r>
    </w:p>
    <w:p w14:paraId="02FF210C">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s="Times New Roman"/>
          <w:color w:val="auto"/>
          <w:kern w:val="0"/>
          <w:sz w:val="32"/>
          <w:szCs w:val="32"/>
          <w:lang w:eastAsia="zh-CN"/>
        </w:rPr>
      </w:pPr>
      <w:r>
        <w:rPr>
          <w:rFonts w:hint="eastAsia" w:ascii="Times New Roman" w:hAnsi="Times New Roman" w:eastAsia="楷体_GB2312" w:cs="Times New Roman"/>
          <w:color w:val="auto"/>
          <w:kern w:val="0"/>
          <w:sz w:val="32"/>
          <w:szCs w:val="32"/>
        </w:rPr>
        <w:t>（</w:t>
      </w:r>
      <w:r>
        <w:rPr>
          <w:rFonts w:hint="eastAsia" w:ascii="Times New Roman" w:hAnsi="Times New Roman" w:eastAsia="楷体_GB2312" w:cs="Times New Roman"/>
          <w:color w:val="auto"/>
          <w:kern w:val="0"/>
          <w:sz w:val="32"/>
          <w:szCs w:val="32"/>
          <w:highlight w:val="none"/>
        </w:rPr>
        <w:t>二）政府性基金预算执行情况</w:t>
      </w:r>
    </w:p>
    <w:p w14:paraId="533F3A5A">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eastAsia="仿宋_GB2312"/>
          <w:color w:val="auto"/>
          <w:sz w:val="32"/>
          <w:szCs w:val="32"/>
          <w:lang w:eastAsia="zh-CN"/>
        </w:rPr>
        <w:t>上半年</w:t>
      </w:r>
      <w:r>
        <w:rPr>
          <w:rFonts w:hint="eastAsia" w:ascii="仿宋_GB2312" w:eastAsia="仿宋_GB2312"/>
          <w:color w:val="auto"/>
          <w:sz w:val="32"/>
          <w:szCs w:val="32"/>
          <w:highlight w:val="none"/>
        </w:rPr>
        <w:t>全县政府性基金预算收入完成</w:t>
      </w:r>
      <w:r>
        <w:rPr>
          <w:rFonts w:hint="eastAsia" w:ascii="仿宋_GB2312" w:eastAsia="仿宋_GB2312"/>
          <w:color w:val="auto"/>
          <w:sz w:val="32"/>
          <w:szCs w:val="32"/>
          <w:highlight w:val="none"/>
          <w:lang w:val="en-US" w:eastAsia="zh-CN"/>
        </w:rPr>
        <w:t>12868</w:t>
      </w:r>
      <w:r>
        <w:rPr>
          <w:rFonts w:hint="eastAsia" w:ascii="仿宋_GB2312" w:eastAsia="仿宋_GB2312"/>
          <w:color w:val="auto"/>
          <w:sz w:val="32"/>
          <w:szCs w:val="32"/>
          <w:highlight w:val="none"/>
        </w:rPr>
        <w:t>万元，占年初预期目标的</w:t>
      </w:r>
      <w:r>
        <w:rPr>
          <w:rFonts w:hint="eastAsia" w:ascii="仿宋_GB2312" w:eastAsia="仿宋_GB2312"/>
          <w:color w:val="auto"/>
          <w:sz w:val="32"/>
          <w:szCs w:val="32"/>
          <w:highlight w:val="none"/>
          <w:lang w:val="en-US" w:eastAsia="zh-CN"/>
        </w:rPr>
        <w:t>26.06</w:t>
      </w:r>
      <w:r>
        <w:rPr>
          <w:rFonts w:hint="eastAsia" w:ascii="仿宋_GB2312" w:eastAsia="仿宋_GB2312"/>
          <w:color w:val="auto"/>
          <w:sz w:val="32"/>
          <w:szCs w:val="32"/>
          <w:highlight w:val="none"/>
        </w:rPr>
        <w:t>%，同比</w:t>
      </w:r>
      <w:r>
        <w:rPr>
          <w:rFonts w:hint="eastAsia" w:ascii="仿宋_GB2312" w:eastAsia="仿宋_GB2312"/>
          <w:color w:val="auto"/>
          <w:sz w:val="32"/>
          <w:szCs w:val="32"/>
          <w:highlight w:val="none"/>
          <w:lang w:eastAsia="zh-CN"/>
        </w:rPr>
        <w:t>增长</w:t>
      </w:r>
      <w:r>
        <w:rPr>
          <w:rFonts w:hint="eastAsia" w:ascii="仿宋_GB2312" w:eastAsia="仿宋_GB2312"/>
          <w:color w:val="auto"/>
          <w:sz w:val="32"/>
          <w:szCs w:val="32"/>
          <w:highlight w:val="none"/>
          <w:lang w:val="en-US" w:eastAsia="zh-CN"/>
        </w:rPr>
        <w:t>6.28</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收入偏低原因是年初预算的国有土地</w:t>
      </w:r>
      <w:r>
        <w:rPr>
          <w:rFonts w:hint="eastAsia" w:ascii="仿宋_GB2312" w:eastAsia="仿宋_GB2312"/>
          <w:color w:val="auto"/>
          <w:sz w:val="32"/>
          <w:szCs w:val="32"/>
          <w:highlight w:val="none"/>
          <w:lang w:eastAsia="zh-CN"/>
        </w:rPr>
        <w:t>使用权出让收入</w:t>
      </w:r>
      <w:r>
        <w:rPr>
          <w:rFonts w:hint="eastAsia" w:ascii="仿宋_GB2312" w:eastAsia="仿宋_GB2312"/>
          <w:color w:val="auto"/>
          <w:sz w:val="32"/>
          <w:szCs w:val="32"/>
          <w:highlight w:val="none"/>
        </w:rPr>
        <w:t>尚未实现，主要涉及金缸城</w:t>
      </w:r>
      <w:r>
        <w:rPr>
          <w:rFonts w:hint="eastAsia" w:ascii="仿宋_GB2312" w:eastAsia="仿宋_GB2312"/>
          <w:color w:val="auto"/>
          <w:sz w:val="32"/>
          <w:szCs w:val="32"/>
          <w:highlight w:val="none"/>
          <w:lang w:val="en-US" w:eastAsia="zh-CN"/>
        </w:rPr>
        <w:t>3</w:t>
      </w:r>
      <w:r>
        <w:rPr>
          <w:rFonts w:hint="eastAsia" w:ascii="仿宋_GB2312" w:eastAsia="仿宋_GB2312"/>
          <w:color w:val="auto"/>
          <w:sz w:val="32"/>
          <w:szCs w:val="32"/>
          <w:highlight w:val="none"/>
        </w:rPr>
        <w:t>宗地</w:t>
      </w:r>
      <w:r>
        <w:rPr>
          <w:rFonts w:hint="eastAsia" w:ascii="仿宋_GB2312" w:eastAsia="仿宋_GB2312"/>
          <w:color w:val="auto"/>
          <w:sz w:val="32"/>
          <w:szCs w:val="32"/>
          <w:highlight w:val="none"/>
          <w:lang w:val="en-US" w:eastAsia="zh-CN"/>
        </w:rPr>
        <w:t>23940万</w:t>
      </w:r>
      <w:r>
        <w:rPr>
          <w:rFonts w:hint="eastAsia" w:ascii="仿宋_GB2312" w:eastAsia="仿宋_GB2312"/>
          <w:color w:val="auto"/>
          <w:sz w:val="32"/>
          <w:szCs w:val="32"/>
          <w:highlight w:val="none"/>
        </w:rPr>
        <w:t>元尚未供出、</w:t>
      </w:r>
      <w:r>
        <w:rPr>
          <w:rFonts w:hint="eastAsia" w:ascii="仿宋_GB2312" w:eastAsia="仿宋_GB2312"/>
          <w:color w:val="auto"/>
          <w:sz w:val="32"/>
          <w:szCs w:val="32"/>
          <w:highlight w:val="none"/>
          <w:lang w:eastAsia="zh-CN"/>
        </w:rPr>
        <w:t>九里工业园区</w:t>
      </w:r>
      <w:r>
        <w:rPr>
          <w:rFonts w:hint="eastAsia" w:ascii="仿宋_GB2312" w:eastAsia="仿宋_GB2312"/>
          <w:color w:val="auto"/>
          <w:sz w:val="32"/>
          <w:szCs w:val="32"/>
          <w:highlight w:val="none"/>
          <w:lang w:val="en-US" w:eastAsia="zh-CN"/>
        </w:rPr>
        <w:t>2宗地3400万元</w:t>
      </w:r>
      <w:r>
        <w:rPr>
          <w:rFonts w:hint="eastAsia" w:ascii="仿宋_GB2312" w:eastAsia="仿宋_GB2312"/>
          <w:color w:val="auto"/>
          <w:sz w:val="32"/>
          <w:szCs w:val="32"/>
          <w:highlight w:val="none"/>
        </w:rPr>
        <w:t>未供出。</w:t>
      </w:r>
      <w:r>
        <w:rPr>
          <w:rFonts w:hint="eastAsia" w:ascii="仿宋_GB2312" w:hAnsi="仿宋_GB2312" w:eastAsia="仿宋_GB2312" w:cs="仿宋_GB2312"/>
          <w:color w:val="auto"/>
          <w:sz w:val="32"/>
          <w:szCs w:val="32"/>
        </w:rPr>
        <w:t>主要收入项目完成情况：国有土地使用权出让收入</w:t>
      </w:r>
      <w:r>
        <w:rPr>
          <w:rFonts w:hint="eastAsia" w:ascii="仿宋_GB2312" w:hAnsi="仿宋_GB2312" w:eastAsia="仿宋_GB2312" w:cs="仿宋_GB2312"/>
          <w:color w:val="auto"/>
          <w:sz w:val="32"/>
          <w:szCs w:val="32"/>
          <w:lang w:val="en-US" w:eastAsia="zh-CN"/>
        </w:rPr>
        <w:t>9081</w:t>
      </w:r>
      <w:r>
        <w:rPr>
          <w:rFonts w:hint="eastAsia" w:ascii="仿宋_GB2312" w:hAnsi="仿宋_GB2312" w:eastAsia="仿宋_GB2312" w:cs="仿宋_GB2312"/>
          <w:color w:val="auto"/>
          <w:sz w:val="32"/>
          <w:szCs w:val="32"/>
        </w:rPr>
        <w:t>万元，占年初预算</w:t>
      </w:r>
      <w:r>
        <w:rPr>
          <w:rFonts w:hint="eastAsia" w:ascii="仿宋_GB2312" w:hAnsi="仿宋_GB2312" w:eastAsia="仿宋_GB2312" w:cs="仿宋_GB2312"/>
          <w:color w:val="auto"/>
          <w:sz w:val="32"/>
          <w:szCs w:val="32"/>
          <w:lang w:eastAsia="zh-CN"/>
        </w:rPr>
        <w:t>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30.26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；城市基础设施配套费收入</w:t>
      </w:r>
      <w:r>
        <w:rPr>
          <w:rFonts w:hint="eastAsia" w:ascii="仿宋_GB2312" w:hAnsi="仿宋_GB2312" w:eastAsia="仿宋_GB2312" w:cs="仿宋_GB2312"/>
          <w:color w:val="auto"/>
          <w:sz w:val="32"/>
          <w:szCs w:val="32"/>
          <w:lang w:val="en-US" w:eastAsia="zh-CN"/>
        </w:rPr>
        <w:t>40</w:t>
      </w:r>
      <w:r>
        <w:rPr>
          <w:rFonts w:hint="eastAsia" w:ascii="仿宋_GB2312" w:hAnsi="仿宋_GB2312" w:eastAsia="仿宋_GB2312" w:cs="仿宋_GB2312"/>
          <w:color w:val="auto"/>
          <w:sz w:val="32"/>
          <w:szCs w:val="32"/>
          <w:lang w:eastAsia="zh-CN"/>
        </w:rPr>
        <w:t>万元，</w:t>
      </w:r>
      <w:r>
        <w:rPr>
          <w:rFonts w:hint="eastAsia" w:ascii="仿宋_GB2312" w:hAnsi="仿宋_GB2312" w:eastAsia="仿宋_GB2312" w:cs="仿宋_GB2312"/>
          <w:color w:val="auto"/>
          <w:sz w:val="32"/>
          <w:szCs w:val="32"/>
        </w:rPr>
        <w:t>占年初预算</w:t>
      </w:r>
      <w:r>
        <w:rPr>
          <w:rFonts w:hint="eastAsia" w:ascii="仿宋_GB2312" w:hAnsi="仿宋_GB2312" w:eastAsia="仿宋_GB2312" w:cs="仿宋_GB2312"/>
          <w:color w:val="auto"/>
          <w:sz w:val="32"/>
          <w:szCs w:val="32"/>
          <w:lang w:eastAsia="zh-CN"/>
        </w:rPr>
        <w:t>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20.00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；污水处理费收入</w:t>
      </w:r>
      <w:r>
        <w:rPr>
          <w:rFonts w:hint="eastAsia" w:ascii="仿宋_GB2312" w:hAnsi="仿宋_GB2312" w:eastAsia="仿宋_GB2312" w:cs="仿宋_GB2312"/>
          <w:color w:val="auto"/>
          <w:sz w:val="32"/>
          <w:szCs w:val="32"/>
          <w:lang w:val="en-US" w:eastAsia="zh-CN"/>
        </w:rPr>
        <w:t>43万元，占年初预算数的5.12%；车辆通行费收入700万元，占年初预算数的43.75%；</w:t>
      </w:r>
      <w:r>
        <w:rPr>
          <w:rFonts w:hint="eastAsia" w:ascii="仿宋_GB2312" w:hAnsi="仿宋_GB2312" w:eastAsia="仿宋_GB2312" w:cs="仿宋_GB2312"/>
          <w:color w:val="auto"/>
          <w:sz w:val="32"/>
          <w:szCs w:val="32"/>
          <w:lang w:eastAsia="zh-CN"/>
        </w:rPr>
        <w:t>专项债务对应项目专项收入</w:t>
      </w:r>
      <w:r>
        <w:rPr>
          <w:rFonts w:hint="eastAsia" w:ascii="仿宋_GB2312" w:hAnsi="仿宋_GB2312" w:eastAsia="仿宋_GB2312" w:cs="仿宋_GB2312"/>
          <w:color w:val="auto"/>
          <w:sz w:val="32"/>
          <w:szCs w:val="32"/>
          <w:lang w:val="en-US" w:eastAsia="zh-CN"/>
        </w:rPr>
        <w:t>3004万元，</w:t>
      </w:r>
      <w:r>
        <w:rPr>
          <w:rFonts w:hint="eastAsia" w:ascii="仿宋_GB2312" w:hAnsi="仿宋_GB2312" w:eastAsia="仿宋_GB2312" w:cs="仿宋_GB2312"/>
          <w:color w:val="auto"/>
          <w:sz w:val="32"/>
          <w:szCs w:val="32"/>
        </w:rPr>
        <w:t>占年初预算</w:t>
      </w:r>
      <w:r>
        <w:rPr>
          <w:rFonts w:hint="eastAsia" w:ascii="仿宋_GB2312" w:hAnsi="仿宋_GB2312" w:eastAsia="仿宋_GB2312" w:cs="仿宋_GB2312"/>
          <w:color w:val="auto"/>
          <w:sz w:val="32"/>
          <w:szCs w:val="32"/>
          <w:lang w:eastAsia="zh-CN"/>
        </w:rPr>
        <w:t>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17.96</w:t>
      </w:r>
      <w:r>
        <w:rPr>
          <w:rFonts w:hint="eastAsia" w:ascii="仿宋_GB2312" w:hAnsi="仿宋_GB2312" w:eastAsia="仿宋_GB2312" w:cs="仿宋_GB2312"/>
          <w:color w:val="auto"/>
          <w:sz w:val="32"/>
          <w:szCs w:val="32"/>
        </w:rPr>
        <w:t>%。</w:t>
      </w:r>
    </w:p>
    <w:p w14:paraId="4DC79AD4">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本级</w:t>
      </w:r>
      <w:r>
        <w:rPr>
          <w:rFonts w:hint="eastAsia" w:ascii="仿宋_GB2312" w:hAnsi="仿宋_GB2312" w:eastAsia="仿宋_GB2312" w:cs="仿宋_GB2312"/>
          <w:color w:val="auto"/>
          <w:sz w:val="32"/>
          <w:szCs w:val="32"/>
        </w:rPr>
        <w:t>政府性基金支出</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lang w:val="en-US" w:eastAsia="zh-CN"/>
        </w:rPr>
        <w:t>31916</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eastAsia="zh-CN"/>
        </w:rPr>
        <w:t>年初预算数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19.55</w:t>
      </w:r>
      <w:r>
        <w:rPr>
          <w:rFonts w:hint="eastAsia" w:ascii="仿宋_GB2312" w:hAnsi="仿宋_GB2312" w:eastAsia="仿宋_GB2312" w:cs="仿宋_GB2312"/>
          <w:color w:val="auto"/>
          <w:sz w:val="32"/>
          <w:szCs w:val="32"/>
        </w:rPr>
        <w:t>%，其中：</w:t>
      </w:r>
      <w:r>
        <w:rPr>
          <w:rFonts w:hint="eastAsia" w:ascii="仿宋_GB2312" w:hAnsi="仿宋_GB2312" w:eastAsia="仿宋_GB2312" w:cs="仿宋_GB2312"/>
          <w:color w:val="auto"/>
          <w:sz w:val="32"/>
          <w:szCs w:val="32"/>
          <w:lang w:eastAsia="zh-CN"/>
        </w:rPr>
        <w:t>节能环保支出</w:t>
      </w:r>
      <w:r>
        <w:rPr>
          <w:rFonts w:hint="eastAsia" w:ascii="仿宋_GB2312" w:hAnsi="仿宋_GB2312" w:eastAsia="仿宋_GB2312" w:cs="仿宋_GB2312"/>
          <w:color w:val="auto"/>
          <w:sz w:val="32"/>
          <w:szCs w:val="32"/>
          <w:lang w:val="en-US" w:eastAsia="zh-CN"/>
        </w:rPr>
        <w:t>2795万元，占年初预算数的55.90%；</w:t>
      </w:r>
      <w:r>
        <w:rPr>
          <w:rFonts w:hint="eastAsia" w:ascii="仿宋_GB2312" w:hAnsi="仿宋_GB2312" w:eastAsia="仿宋_GB2312" w:cs="仿宋_GB2312"/>
          <w:color w:val="auto"/>
          <w:sz w:val="32"/>
          <w:szCs w:val="32"/>
        </w:rPr>
        <w:t>城乡社区支出</w:t>
      </w:r>
      <w:r>
        <w:rPr>
          <w:rFonts w:hint="eastAsia" w:ascii="仿宋_GB2312" w:hAnsi="仿宋_GB2312" w:eastAsia="仿宋_GB2312" w:cs="仿宋_GB2312"/>
          <w:color w:val="auto"/>
          <w:sz w:val="32"/>
          <w:szCs w:val="32"/>
          <w:lang w:val="en-US" w:eastAsia="zh-CN"/>
        </w:rPr>
        <w:t>5625</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eastAsia="zh-CN"/>
        </w:rPr>
        <w:t>年初预算数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17.67</w:t>
      </w:r>
      <w:r>
        <w:rPr>
          <w:rFonts w:hint="eastAsia" w:ascii="仿宋_GB2312" w:hAnsi="仿宋_GB2312" w:eastAsia="仿宋_GB2312" w:cs="仿宋_GB2312"/>
          <w:color w:val="auto"/>
          <w:sz w:val="32"/>
          <w:szCs w:val="32"/>
        </w:rPr>
        <w:t>%；农林水支出</w:t>
      </w:r>
      <w:r>
        <w:rPr>
          <w:rFonts w:hint="eastAsia" w:ascii="仿宋_GB2312" w:hAnsi="仿宋_GB2312" w:eastAsia="仿宋_GB2312" w:cs="仿宋_GB2312"/>
          <w:color w:val="auto"/>
          <w:sz w:val="32"/>
          <w:szCs w:val="32"/>
          <w:lang w:val="en-US" w:eastAsia="zh-CN"/>
        </w:rPr>
        <w:t>8700</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eastAsia="zh-CN"/>
        </w:rPr>
        <w:t>年初预算数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8.01</w:t>
      </w:r>
      <w:r>
        <w:rPr>
          <w:rFonts w:hint="eastAsia" w:ascii="仿宋_GB2312" w:hAnsi="仿宋_GB2312" w:eastAsia="仿宋_GB2312" w:cs="仿宋_GB2312"/>
          <w:color w:val="auto"/>
          <w:sz w:val="32"/>
          <w:szCs w:val="32"/>
        </w:rPr>
        <w:t>%；交通运输支出</w:t>
      </w:r>
      <w:r>
        <w:rPr>
          <w:rFonts w:hint="eastAsia" w:ascii="仿宋_GB2312" w:hAnsi="仿宋_GB2312" w:eastAsia="仿宋_GB2312" w:cs="仿宋_GB2312"/>
          <w:color w:val="auto"/>
          <w:sz w:val="32"/>
          <w:szCs w:val="32"/>
          <w:lang w:val="en-US" w:eastAsia="zh-CN"/>
        </w:rPr>
        <w:t>146</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eastAsia="zh-CN"/>
        </w:rPr>
        <w:t>年初预算数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9.13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资源勘探工业信息等支出</w:t>
      </w:r>
      <w:r>
        <w:rPr>
          <w:rFonts w:hint="eastAsia" w:ascii="仿宋_GB2312" w:hAnsi="仿宋_GB2312" w:eastAsia="仿宋_GB2312" w:cs="仿宋_GB2312"/>
          <w:color w:val="auto"/>
          <w:sz w:val="32"/>
          <w:szCs w:val="32"/>
          <w:lang w:val="en-US" w:eastAsia="zh-CN"/>
        </w:rPr>
        <w:t>586万元，占年初预算数的101.91%；</w:t>
      </w:r>
      <w:r>
        <w:rPr>
          <w:rFonts w:hint="eastAsia" w:ascii="仿宋_GB2312" w:hAnsi="仿宋_GB2312" w:eastAsia="仿宋_GB2312" w:cs="仿宋_GB2312"/>
          <w:color w:val="auto"/>
          <w:sz w:val="32"/>
          <w:szCs w:val="32"/>
        </w:rPr>
        <w:t>其他支出</w:t>
      </w:r>
      <w:r>
        <w:rPr>
          <w:rFonts w:hint="eastAsia" w:ascii="仿宋_GB2312" w:hAnsi="仿宋_GB2312" w:eastAsia="仿宋_GB2312" w:cs="仿宋_GB2312"/>
          <w:color w:val="auto"/>
          <w:sz w:val="32"/>
          <w:szCs w:val="32"/>
          <w:lang w:val="en-US" w:eastAsia="zh-CN"/>
        </w:rPr>
        <w:t>9173</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占</w:t>
      </w:r>
      <w:r>
        <w:rPr>
          <w:rFonts w:hint="eastAsia" w:ascii="仿宋_GB2312" w:hAnsi="仿宋_GB2312" w:eastAsia="仿宋_GB2312" w:cs="仿宋_GB2312"/>
          <w:color w:val="auto"/>
          <w:sz w:val="32"/>
          <w:szCs w:val="32"/>
          <w:lang w:eastAsia="zh-CN"/>
        </w:rPr>
        <w:t>年初预算数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197.23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，主要是新增专项债券资金安排的支出</w:t>
      </w:r>
      <w:r>
        <w:rPr>
          <w:rFonts w:hint="eastAsia" w:ascii="仿宋_GB2312" w:hAnsi="仿宋_GB2312" w:eastAsia="仿宋_GB2312" w:cs="仿宋_GB2312"/>
          <w:color w:val="auto"/>
          <w:sz w:val="32"/>
          <w:szCs w:val="32"/>
        </w:rPr>
        <w:t>；债务付息支出</w:t>
      </w:r>
      <w:r>
        <w:rPr>
          <w:rFonts w:hint="eastAsia" w:ascii="仿宋_GB2312" w:hAnsi="仿宋_GB2312" w:eastAsia="仿宋_GB2312" w:cs="仿宋_GB2312"/>
          <w:color w:val="auto"/>
          <w:sz w:val="32"/>
          <w:szCs w:val="32"/>
          <w:lang w:val="en-US" w:eastAsia="zh-CN"/>
        </w:rPr>
        <w:t>4863</w:t>
      </w:r>
      <w:r>
        <w:rPr>
          <w:rFonts w:hint="eastAsia" w:ascii="仿宋_GB2312" w:hAnsi="仿宋_GB2312" w:eastAsia="仿宋_GB2312" w:cs="仿宋_GB2312"/>
          <w:color w:val="auto"/>
          <w:sz w:val="32"/>
          <w:szCs w:val="32"/>
        </w:rPr>
        <w:t>万元，占</w:t>
      </w:r>
      <w:r>
        <w:rPr>
          <w:rFonts w:hint="eastAsia" w:ascii="仿宋_GB2312" w:hAnsi="仿宋_GB2312" w:eastAsia="仿宋_GB2312" w:cs="仿宋_GB2312"/>
          <w:color w:val="auto"/>
          <w:sz w:val="32"/>
          <w:szCs w:val="32"/>
          <w:lang w:eastAsia="zh-CN"/>
        </w:rPr>
        <w:t>年初预算数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46.86</w:t>
      </w:r>
      <w:r>
        <w:rPr>
          <w:rFonts w:hint="eastAsia" w:ascii="仿宋_GB2312" w:hAnsi="仿宋_GB2312" w:eastAsia="仿宋_GB2312" w:cs="仿宋_GB2312"/>
          <w:color w:val="auto"/>
          <w:sz w:val="32"/>
          <w:szCs w:val="32"/>
        </w:rPr>
        <w:t>%；债务发行费用支出</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 xml:space="preserve">万元。 </w:t>
      </w:r>
    </w:p>
    <w:p w14:paraId="316D2587">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s="Times New Roman"/>
          <w:color w:val="auto"/>
          <w:kern w:val="0"/>
          <w:sz w:val="32"/>
          <w:szCs w:val="32"/>
          <w:lang w:eastAsia="zh-CN"/>
        </w:rPr>
      </w:pPr>
      <w:r>
        <w:rPr>
          <w:rFonts w:hint="eastAsia" w:ascii="Times New Roman" w:hAnsi="Times New Roman" w:eastAsia="楷体_GB2312" w:cs="Times New Roman"/>
          <w:color w:val="auto"/>
          <w:kern w:val="0"/>
          <w:sz w:val="32"/>
          <w:szCs w:val="32"/>
        </w:rPr>
        <w:t>（三）</w:t>
      </w:r>
      <w:r>
        <w:rPr>
          <w:rFonts w:hint="eastAsia" w:ascii="Times New Roman" w:hAnsi="Times New Roman" w:eastAsia="楷体_GB2312" w:cs="Times New Roman"/>
          <w:color w:val="auto"/>
          <w:kern w:val="0"/>
          <w:sz w:val="32"/>
          <w:szCs w:val="32"/>
          <w:lang w:eastAsia="zh-CN"/>
        </w:rPr>
        <w:t>社会保险</w:t>
      </w:r>
      <w:r>
        <w:rPr>
          <w:rFonts w:hint="eastAsia" w:ascii="Times New Roman" w:hAnsi="Times New Roman" w:eastAsia="楷体_GB2312" w:cs="Times New Roman"/>
          <w:color w:val="auto"/>
          <w:kern w:val="0"/>
          <w:sz w:val="32"/>
          <w:szCs w:val="32"/>
        </w:rPr>
        <w:t>基金预算执行情况</w:t>
      </w:r>
    </w:p>
    <w:p w14:paraId="4CC0537A">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社会保险</w:t>
      </w:r>
      <w:r>
        <w:rPr>
          <w:rFonts w:hint="eastAsia" w:ascii="仿宋_GB2312" w:hAnsi="仿宋_GB2312" w:eastAsia="仿宋_GB2312" w:cs="仿宋_GB2312"/>
          <w:color w:val="auto"/>
          <w:sz w:val="32"/>
          <w:szCs w:val="32"/>
        </w:rPr>
        <w:t>基金预算收入</w:t>
      </w:r>
      <w:r>
        <w:rPr>
          <w:rFonts w:hint="eastAsia" w:ascii="仿宋_GB2312" w:hAnsi="仿宋_GB2312" w:eastAsia="仿宋_GB2312" w:cs="仿宋_GB2312"/>
          <w:color w:val="auto"/>
          <w:sz w:val="32"/>
          <w:szCs w:val="32"/>
          <w:lang w:val="en-US" w:eastAsia="zh-CN"/>
        </w:rPr>
        <w:t>完成19979</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占年初</w:t>
      </w:r>
      <w:r>
        <w:rPr>
          <w:rFonts w:hint="eastAsia" w:ascii="仿宋_GB2312" w:hAnsi="仿宋_GB2312" w:eastAsia="仿宋_GB2312" w:cs="仿宋_GB2312"/>
          <w:color w:val="auto"/>
          <w:sz w:val="32"/>
          <w:szCs w:val="32"/>
        </w:rPr>
        <w:t>预算</w:t>
      </w:r>
      <w:r>
        <w:rPr>
          <w:rFonts w:hint="eastAsia" w:ascii="仿宋_GB2312" w:hAnsi="仿宋_GB2312" w:eastAsia="仿宋_GB2312" w:cs="仿宋_GB2312"/>
          <w:color w:val="auto"/>
          <w:sz w:val="32"/>
          <w:szCs w:val="32"/>
          <w:lang w:eastAsia="zh-CN"/>
        </w:rPr>
        <w:t>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31.46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其中：城乡居民基本养老保险基金4222万元，</w:t>
      </w:r>
      <w:r>
        <w:rPr>
          <w:rFonts w:hint="eastAsia" w:ascii="仿宋_GB2312" w:hAnsi="仿宋_GB2312" w:eastAsia="仿宋_GB2312" w:cs="仿宋_GB2312"/>
          <w:color w:val="auto"/>
          <w:sz w:val="32"/>
          <w:szCs w:val="32"/>
          <w:lang w:eastAsia="zh-CN"/>
        </w:rPr>
        <w:t>占年初</w:t>
      </w:r>
      <w:r>
        <w:rPr>
          <w:rFonts w:hint="eastAsia" w:ascii="仿宋_GB2312" w:hAnsi="仿宋_GB2312" w:eastAsia="仿宋_GB2312" w:cs="仿宋_GB2312"/>
          <w:color w:val="auto"/>
          <w:sz w:val="32"/>
          <w:szCs w:val="32"/>
        </w:rPr>
        <w:t>预算</w:t>
      </w:r>
      <w:r>
        <w:rPr>
          <w:rFonts w:hint="eastAsia" w:ascii="仿宋_GB2312" w:hAnsi="仿宋_GB2312" w:eastAsia="仿宋_GB2312" w:cs="仿宋_GB2312"/>
          <w:color w:val="auto"/>
          <w:sz w:val="32"/>
          <w:szCs w:val="32"/>
          <w:lang w:eastAsia="zh-CN"/>
        </w:rPr>
        <w:t>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18.21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；机关事业单位基本养老保险基金</w:t>
      </w:r>
      <w:r>
        <w:rPr>
          <w:rFonts w:hint="eastAsia" w:ascii="仿宋_GB2312" w:hAnsi="仿宋_GB2312" w:eastAsia="仿宋_GB2312" w:cs="仿宋_GB2312"/>
          <w:color w:val="auto"/>
          <w:sz w:val="32"/>
          <w:szCs w:val="32"/>
          <w:lang w:val="en-US" w:eastAsia="zh-CN"/>
        </w:rPr>
        <w:t>15757万元，</w:t>
      </w:r>
      <w:r>
        <w:rPr>
          <w:rFonts w:hint="eastAsia" w:ascii="仿宋_GB2312" w:hAnsi="仿宋_GB2312" w:eastAsia="仿宋_GB2312" w:cs="仿宋_GB2312"/>
          <w:color w:val="auto"/>
          <w:sz w:val="32"/>
          <w:szCs w:val="32"/>
          <w:lang w:eastAsia="zh-CN"/>
        </w:rPr>
        <w:t>占年初</w:t>
      </w:r>
      <w:r>
        <w:rPr>
          <w:rFonts w:hint="eastAsia" w:ascii="仿宋_GB2312" w:hAnsi="仿宋_GB2312" w:eastAsia="仿宋_GB2312" w:cs="仿宋_GB2312"/>
          <w:color w:val="auto"/>
          <w:sz w:val="32"/>
          <w:szCs w:val="32"/>
        </w:rPr>
        <w:t>预算</w:t>
      </w:r>
      <w:r>
        <w:rPr>
          <w:rFonts w:hint="eastAsia" w:ascii="仿宋_GB2312" w:hAnsi="仿宋_GB2312" w:eastAsia="仿宋_GB2312" w:cs="仿宋_GB2312"/>
          <w:color w:val="auto"/>
          <w:sz w:val="32"/>
          <w:szCs w:val="32"/>
          <w:lang w:eastAsia="zh-CN"/>
        </w:rPr>
        <w:t>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eastAsia="zh-CN"/>
        </w:rPr>
        <w:t>39.08</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14:paraId="13961A27">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ascii="Times New Roman" w:hAnsi="Times New Roman" w:eastAsia="仿宋_GB2312"/>
          <w:color w:val="auto"/>
          <w:sz w:val="32"/>
          <w:szCs w:val="32"/>
          <w:highlight w:val="none"/>
        </w:rPr>
      </w:pPr>
      <w:r>
        <w:rPr>
          <w:rFonts w:hint="eastAsia" w:ascii="仿宋_GB2312" w:hAnsi="仿宋_GB2312" w:eastAsia="仿宋_GB2312" w:cs="仿宋_GB2312"/>
          <w:color w:val="auto"/>
          <w:sz w:val="32"/>
          <w:szCs w:val="32"/>
          <w:highlight w:val="none"/>
        </w:rPr>
        <w:t>社会保险基金预算支出</w:t>
      </w:r>
      <w:r>
        <w:rPr>
          <w:rFonts w:hint="eastAsia" w:ascii="仿宋_GB2312" w:hAnsi="仿宋_GB2312" w:eastAsia="仿宋_GB2312" w:cs="仿宋_GB2312"/>
          <w:color w:val="auto"/>
          <w:sz w:val="32"/>
          <w:szCs w:val="32"/>
          <w:highlight w:val="none"/>
          <w:lang w:val="en-US" w:eastAsia="zh-CN"/>
        </w:rPr>
        <w:t>完成28438</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eastAsia="zh-CN"/>
        </w:rPr>
        <w:t>占年初</w:t>
      </w:r>
      <w:r>
        <w:rPr>
          <w:rFonts w:hint="eastAsia" w:ascii="仿宋_GB2312" w:hAnsi="仿宋_GB2312" w:eastAsia="仿宋_GB2312" w:cs="仿宋_GB2312"/>
          <w:color w:val="auto"/>
          <w:sz w:val="32"/>
          <w:szCs w:val="32"/>
          <w:highlight w:val="none"/>
        </w:rPr>
        <w:t>预算</w:t>
      </w:r>
      <w:r>
        <w:rPr>
          <w:rFonts w:hint="eastAsia" w:ascii="仿宋_GB2312" w:hAnsi="仿宋_GB2312" w:eastAsia="仿宋_GB2312" w:cs="仿宋_GB2312"/>
          <w:color w:val="auto"/>
          <w:sz w:val="32"/>
          <w:szCs w:val="32"/>
          <w:highlight w:val="none"/>
          <w:lang w:eastAsia="zh-CN"/>
        </w:rPr>
        <w:t>数</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val="en-US" w:eastAsia="zh-CN"/>
        </w:rPr>
        <w:t>47.93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其中：城乡居民基本养老保险基金9265万元，</w:t>
      </w:r>
      <w:r>
        <w:rPr>
          <w:rFonts w:hint="eastAsia" w:ascii="仿宋_GB2312" w:hAnsi="仿宋_GB2312" w:eastAsia="仿宋_GB2312" w:cs="仿宋_GB2312"/>
          <w:color w:val="auto"/>
          <w:sz w:val="32"/>
          <w:szCs w:val="32"/>
          <w:highlight w:val="none"/>
          <w:lang w:eastAsia="zh-CN"/>
        </w:rPr>
        <w:t>占年初</w:t>
      </w:r>
      <w:r>
        <w:rPr>
          <w:rFonts w:hint="eastAsia" w:ascii="仿宋_GB2312" w:hAnsi="仿宋_GB2312" w:eastAsia="仿宋_GB2312" w:cs="仿宋_GB2312"/>
          <w:color w:val="auto"/>
          <w:sz w:val="32"/>
          <w:szCs w:val="32"/>
          <w:highlight w:val="none"/>
        </w:rPr>
        <w:t>预算</w:t>
      </w:r>
      <w:r>
        <w:rPr>
          <w:rFonts w:hint="eastAsia" w:ascii="仿宋_GB2312" w:hAnsi="仿宋_GB2312" w:eastAsia="仿宋_GB2312" w:cs="仿宋_GB2312"/>
          <w:color w:val="auto"/>
          <w:sz w:val="32"/>
          <w:szCs w:val="32"/>
          <w:highlight w:val="none"/>
          <w:lang w:eastAsia="zh-CN"/>
        </w:rPr>
        <w:t>数</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val="en-US" w:eastAsia="zh-CN"/>
        </w:rPr>
        <w:t>48.69</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；机关事业单位基本养老保险基金</w:t>
      </w:r>
      <w:r>
        <w:rPr>
          <w:rFonts w:hint="eastAsia" w:ascii="仿宋_GB2312" w:hAnsi="仿宋_GB2312" w:eastAsia="仿宋_GB2312" w:cs="仿宋_GB2312"/>
          <w:color w:val="auto"/>
          <w:sz w:val="32"/>
          <w:szCs w:val="32"/>
          <w:highlight w:val="none"/>
          <w:lang w:val="en-US" w:eastAsia="zh-CN"/>
        </w:rPr>
        <w:t>19173万元，</w:t>
      </w:r>
      <w:r>
        <w:rPr>
          <w:rFonts w:hint="eastAsia" w:ascii="仿宋_GB2312" w:hAnsi="仿宋_GB2312" w:eastAsia="仿宋_GB2312" w:cs="仿宋_GB2312"/>
          <w:color w:val="auto"/>
          <w:sz w:val="32"/>
          <w:szCs w:val="32"/>
          <w:highlight w:val="none"/>
          <w:lang w:eastAsia="zh-CN"/>
        </w:rPr>
        <w:t>占年初</w:t>
      </w:r>
      <w:r>
        <w:rPr>
          <w:rFonts w:hint="eastAsia" w:ascii="仿宋_GB2312" w:hAnsi="仿宋_GB2312" w:eastAsia="仿宋_GB2312" w:cs="仿宋_GB2312"/>
          <w:color w:val="auto"/>
          <w:sz w:val="32"/>
          <w:szCs w:val="32"/>
          <w:highlight w:val="none"/>
        </w:rPr>
        <w:t>预算</w:t>
      </w:r>
      <w:r>
        <w:rPr>
          <w:rFonts w:hint="eastAsia" w:ascii="仿宋_GB2312" w:hAnsi="仿宋_GB2312" w:eastAsia="仿宋_GB2312" w:cs="仿宋_GB2312"/>
          <w:color w:val="auto"/>
          <w:sz w:val="32"/>
          <w:szCs w:val="32"/>
          <w:highlight w:val="none"/>
          <w:lang w:eastAsia="zh-CN"/>
        </w:rPr>
        <w:t>数</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val="en-US" w:eastAsia="zh-CN"/>
        </w:rPr>
        <w:t>47.57</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w:t>
      </w:r>
    </w:p>
    <w:p w14:paraId="19445ED1">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s="Times New Roman"/>
          <w:color w:val="auto"/>
          <w:kern w:val="0"/>
          <w:sz w:val="32"/>
          <w:szCs w:val="32"/>
          <w:lang w:eastAsia="zh-CN"/>
        </w:rPr>
      </w:pPr>
      <w:r>
        <w:rPr>
          <w:rFonts w:hint="eastAsia" w:ascii="Times New Roman" w:hAnsi="Times New Roman" w:eastAsia="楷体_GB2312" w:cs="Times New Roman"/>
          <w:color w:val="auto"/>
          <w:kern w:val="0"/>
          <w:sz w:val="32"/>
          <w:szCs w:val="32"/>
        </w:rPr>
        <w:t>（四）国有资本经营预算执行情况</w:t>
      </w:r>
    </w:p>
    <w:p w14:paraId="76770DFA">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Calibri" w:eastAsia="仿宋_GB2312" w:cs="Times New Roman"/>
          <w:color w:val="auto"/>
          <w:kern w:val="2"/>
          <w:sz w:val="32"/>
          <w:szCs w:val="32"/>
          <w:highlight w:val="none"/>
          <w:lang w:val="en-US" w:eastAsia="zh-CN" w:bidi="ar-SA"/>
        </w:rPr>
        <w:t>年初预算的股息红利收入预计在下半年缴纳入库，上半年国有资本经营预算暂无收入、支出情况。</w:t>
      </w:r>
    </w:p>
    <w:p w14:paraId="18636620">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楷体_GB2312" w:cs="Times New Roman"/>
          <w:color w:val="auto"/>
          <w:kern w:val="0"/>
          <w:sz w:val="32"/>
          <w:szCs w:val="32"/>
          <w:lang w:eastAsia="zh-CN"/>
        </w:rPr>
      </w:pPr>
      <w:r>
        <w:rPr>
          <w:rFonts w:hint="eastAsia" w:ascii="Times New Roman" w:hAnsi="Times New Roman" w:eastAsia="楷体_GB2312" w:cs="Times New Roman"/>
          <w:color w:val="auto"/>
          <w:kern w:val="0"/>
          <w:sz w:val="32"/>
          <w:szCs w:val="32"/>
        </w:rPr>
        <w:t>（五）政府债务管理情况</w:t>
      </w:r>
    </w:p>
    <w:p w14:paraId="7727CC09">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2025年省财政厅下达我县债务限额708566万元，其中：一般债务281556万元、专项债务427010万元</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目前债务余额为654553万元，其中：一般债务272947万元、专项债务381606万元，均未突破限额。债务风险等级保持在绿色等级，政府债务风险安全可控。</w:t>
      </w:r>
    </w:p>
    <w:p w14:paraId="45F7218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0" w:firstLineChars="200"/>
        <w:jc w:val="both"/>
        <w:textAlignment w:val="auto"/>
        <w:rPr>
          <w:rFonts w:hint="eastAsia" w:ascii="Times New Roman" w:hAnsi="Times New Roman" w:eastAsia="楷体_GB2312" w:cs="楷体_GB2312"/>
          <w:b w:val="0"/>
          <w:bCs w:val="0"/>
          <w:color w:val="auto"/>
          <w:sz w:val="32"/>
          <w:szCs w:val="32"/>
          <w:lang w:val="en-US" w:eastAsia="zh-CN"/>
        </w:rPr>
      </w:pPr>
      <w:r>
        <w:rPr>
          <w:rFonts w:hint="eastAsia" w:ascii="Times New Roman" w:hAnsi="Times New Roman" w:eastAsia="楷体_GB2312" w:cs="楷体_GB2312"/>
          <w:b w:val="0"/>
          <w:bCs w:val="0"/>
          <w:color w:val="auto"/>
          <w:sz w:val="32"/>
          <w:szCs w:val="32"/>
          <w:lang w:val="en-US" w:eastAsia="zh-CN"/>
        </w:rPr>
        <w:t>（六）政府投资项目资金执行情况</w:t>
      </w:r>
    </w:p>
    <w:p w14:paraId="2EEA511C">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截至6月底，共下达政府投资项目资金计划</w:t>
      </w:r>
      <w:r>
        <w:rPr>
          <w:rFonts w:hint="eastAsia" w:ascii="仿宋_GB2312" w:hAnsi="仿宋_GB2312" w:eastAsia="仿宋_GB2312" w:cs="仿宋_GB2312"/>
          <w:color w:val="auto"/>
          <w:kern w:val="0"/>
          <w:sz w:val="32"/>
          <w:szCs w:val="32"/>
          <w:highlight w:val="none"/>
          <w:lang w:val="en-US" w:eastAsia="zh-CN"/>
        </w:rPr>
        <w:t>132169</w:t>
      </w:r>
      <w:r>
        <w:rPr>
          <w:rFonts w:hint="eastAsia" w:ascii="仿宋_GB2312" w:hAnsi="仿宋_GB2312" w:eastAsia="仿宋_GB2312" w:cs="仿宋_GB2312"/>
          <w:color w:val="auto"/>
          <w:kern w:val="0"/>
          <w:sz w:val="32"/>
          <w:szCs w:val="32"/>
          <w:highlight w:val="none"/>
          <w:lang w:eastAsia="zh-CN"/>
        </w:rPr>
        <w:t>万元，</w:t>
      </w:r>
      <w:r>
        <w:rPr>
          <w:rFonts w:hint="eastAsia" w:ascii="仿宋_GB2312" w:hAnsi="仿宋_GB2312" w:eastAsia="仿宋_GB2312" w:cs="仿宋_GB2312"/>
          <w:color w:val="auto"/>
          <w:kern w:val="0"/>
          <w:sz w:val="32"/>
          <w:szCs w:val="32"/>
          <w:highlight w:val="none"/>
          <w:lang w:val="en-US" w:eastAsia="zh-CN"/>
        </w:rPr>
        <w:t>其中：基础设施项目18722万元、移民安稳致富和促进库区社会经济发展项目56243万元、农林水建设项目11328万元、交通项目12215万元、乡村振兴项目15172万元、地质灾害防治项目8683万元、保障性住房项目627万元、教育项目5149万元、生态环境保护项目4030万元。受项目实施进度影响，上半年已</w:t>
      </w:r>
      <w:r>
        <w:rPr>
          <w:rFonts w:hint="eastAsia" w:ascii="仿宋_GB2312" w:hAnsi="仿宋_GB2312" w:eastAsia="仿宋_GB2312" w:cs="仿宋_GB2312"/>
          <w:color w:val="auto"/>
          <w:kern w:val="0"/>
          <w:sz w:val="32"/>
          <w:szCs w:val="32"/>
          <w:highlight w:val="none"/>
          <w:lang w:eastAsia="zh-CN"/>
        </w:rPr>
        <w:t>拨付资金</w:t>
      </w:r>
      <w:r>
        <w:rPr>
          <w:rFonts w:hint="eastAsia" w:ascii="仿宋_GB2312" w:hAnsi="仿宋_GB2312" w:eastAsia="仿宋_GB2312" w:cs="仿宋_GB2312"/>
          <w:color w:val="auto"/>
          <w:kern w:val="0"/>
          <w:sz w:val="32"/>
          <w:szCs w:val="32"/>
          <w:highlight w:val="none"/>
          <w:lang w:val="en-US" w:eastAsia="zh-CN"/>
        </w:rPr>
        <w:t>59291</w:t>
      </w:r>
      <w:r>
        <w:rPr>
          <w:rFonts w:hint="eastAsia" w:ascii="仿宋_GB2312" w:hAnsi="仿宋_GB2312" w:eastAsia="仿宋_GB2312" w:cs="仿宋_GB2312"/>
          <w:color w:val="auto"/>
          <w:kern w:val="0"/>
          <w:sz w:val="32"/>
          <w:szCs w:val="32"/>
          <w:highlight w:val="none"/>
          <w:lang w:eastAsia="zh-CN"/>
        </w:rPr>
        <w:t>万元，占计划数的</w:t>
      </w:r>
      <w:r>
        <w:rPr>
          <w:rFonts w:hint="eastAsia" w:ascii="仿宋_GB2312" w:hAnsi="仿宋_GB2312" w:eastAsia="仿宋_GB2312" w:cs="仿宋_GB2312"/>
          <w:color w:val="auto"/>
          <w:kern w:val="0"/>
          <w:sz w:val="32"/>
          <w:szCs w:val="32"/>
          <w:highlight w:val="none"/>
          <w:lang w:val="en-US" w:eastAsia="zh-CN"/>
        </w:rPr>
        <w:t>44.86</w:t>
      </w:r>
      <w:r>
        <w:rPr>
          <w:rFonts w:hint="eastAsia" w:ascii="仿宋_GB2312" w:hAnsi="仿宋_GB2312" w:eastAsia="仿宋_GB2312" w:cs="仿宋_GB2312"/>
          <w:color w:val="auto"/>
          <w:kern w:val="0"/>
          <w:sz w:val="32"/>
          <w:szCs w:val="32"/>
          <w:highlight w:val="none"/>
          <w:lang w:eastAsia="zh-CN"/>
        </w:rPr>
        <w:t>%，有力保障了秭归县中心老城区及金缸城新区污水管网更新改造工程</w:t>
      </w:r>
      <w:r>
        <w:rPr>
          <w:rFonts w:hint="eastAsia" w:ascii="仿宋_GB2312" w:hAnsi="仿宋_GB2312" w:eastAsia="仿宋_GB2312" w:cs="仿宋_GB2312"/>
          <w:color w:val="auto"/>
          <w:kern w:val="0"/>
          <w:sz w:val="32"/>
          <w:szCs w:val="32"/>
          <w:highlight w:val="none"/>
          <w:lang w:val="en-US" w:eastAsia="zh-CN"/>
        </w:rPr>
        <w:t>、子归文旅投就业服务中心实训基地</w:t>
      </w:r>
      <w:r>
        <w:rPr>
          <w:rFonts w:hint="eastAsia" w:ascii="仿宋_GB2312" w:hAnsi="仿宋_GB2312" w:eastAsia="仿宋_GB2312" w:cs="仿宋_GB2312"/>
          <w:color w:val="auto"/>
          <w:kern w:val="0"/>
          <w:sz w:val="32"/>
          <w:szCs w:val="32"/>
          <w:highlight w:val="none"/>
          <w:lang w:eastAsia="zh-CN"/>
        </w:rPr>
        <w:t>等项目建设。</w:t>
      </w:r>
    </w:p>
    <w:p w14:paraId="3DC6041F">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kern w:val="0"/>
          <w:sz w:val="32"/>
          <w:szCs w:val="32"/>
          <w:lang w:eastAsia="zh-CN"/>
        </w:rPr>
        <w:t>三、</w:t>
      </w:r>
      <w:r>
        <w:rPr>
          <w:rFonts w:hint="eastAsia" w:ascii="黑体" w:hAnsi="黑体" w:eastAsia="黑体" w:cs="黑体"/>
          <w:color w:val="auto"/>
          <w:sz w:val="32"/>
          <w:szCs w:val="32"/>
          <w:lang w:val="en-US" w:eastAsia="zh-CN"/>
        </w:rPr>
        <w:t>2025年</w:t>
      </w:r>
      <w:r>
        <w:rPr>
          <w:rFonts w:hint="eastAsia" w:ascii="黑体" w:hAnsi="黑体" w:eastAsia="黑体" w:cs="黑体"/>
          <w:color w:val="auto"/>
          <w:sz w:val="32"/>
          <w:szCs w:val="32"/>
        </w:rPr>
        <w:t>上半年</w:t>
      </w:r>
      <w:r>
        <w:rPr>
          <w:rFonts w:hint="eastAsia" w:ascii="黑体" w:hAnsi="黑体" w:eastAsia="黑体" w:cs="黑体"/>
          <w:color w:val="auto"/>
          <w:sz w:val="32"/>
          <w:szCs w:val="32"/>
          <w:lang w:val="en-US" w:eastAsia="zh-CN"/>
        </w:rPr>
        <w:t>主要工作完成情况</w:t>
      </w:r>
    </w:p>
    <w:p w14:paraId="60B2E076">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楷体_GB2312" w:hAnsi="楷体_GB2312" w:eastAsia="楷体_GB2312" w:cs="楷体_GB2312"/>
          <w:b w:val="0"/>
          <w:bCs w:val="0"/>
          <w:i w:val="0"/>
          <w:iCs w:val="0"/>
          <w:caps w:val="0"/>
          <w:color w:val="auto"/>
          <w:spacing w:val="0"/>
          <w:sz w:val="32"/>
          <w:szCs w:val="32"/>
          <w:u w:val="none"/>
          <w:shd w:val="clear" w:color="auto" w:fill="FFFFFF"/>
        </w:rPr>
      </w:pPr>
      <w:r>
        <w:rPr>
          <w:rFonts w:hint="eastAsia" w:ascii="楷体_GB2312" w:hAnsi="楷体_GB2312" w:eastAsia="楷体_GB2312" w:cs="楷体_GB2312"/>
          <w:b w:val="0"/>
          <w:bCs w:val="0"/>
          <w:i w:val="0"/>
          <w:iCs w:val="0"/>
          <w:caps w:val="0"/>
          <w:color w:val="auto"/>
          <w:spacing w:val="0"/>
          <w:sz w:val="32"/>
          <w:szCs w:val="32"/>
          <w:u w:val="none"/>
          <w:shd w:val="clear" w:color="auto" w:fill="FFFFFF"/>
          <w:lang w:eastAsia="zh-CN"/>
        </w:rPr>
        <w:t>（一）</w:t>
      </w:r>
      <w:r>
        <w:rPr>
          <w:rFonts w:hint="eastAsia" w:ascii="楷体_GB2312" w:hAnsi="楷体_GB2312" w:eastAsia="楷体_GB2312" w:cs="楷体_GB2312"/>
          <w:b w:val="0"/>
          <w:bCs w:val="0"/>
          <w:i w:val="0"/>
          <w:iCs w:val="0"/>
          <w:caps w:val="0"/>
          <w:color w:val="auto"/>
          <w:spacing w:val="0"/>
          <w:sz w:val="32"/>
          <w:szCs w:val="32"/>
          <w:u w:val="none"/>
          <w:shd w:val="clear" w:color="auto" w:fill="FFFFFF"/>
        </w:rPr>
        <w:t>开源挖潜促增收，全力</w:t>
      </w:r>
      <w:r>
        <w:rPr>
          <w:rFonts w:hint="eastAsia" w:ascii="楷体_GB2312" w:hAnsi="楷体_GB2312" w:eastAsia="楷体_GB2312" w:cs="楷体_GB2312"/>
          <w:b w:val="0"/>
          <w:bCs w:val="0"/>
          <w:i w:val="0"/>
          <w:iCs w:val="0"/>
          <w:caps w:val="0"/>
          <w:color w:val="auto"/>
          <w:spacing w:val="0"/>
          <w:sz w:val="32"/>
          <w:szCs w:val="32"/>
          <w:u w:val="none"/>
          <w:shd w:val="clear" w:color="auto" w:fill="FFFFFF"/>
          <w:lang w:eastAsia="zh-CN"/>
        </w:rPr>
        <w:t>提高保障能力</w:t>
      </w:r>
    </w:p>
    <w:p w14:paraId="1253C3A5">
      <w:pPr>
        <w:keepNext w:val="0"/>
        <w:keepLines w:val="0"/>
        <w:pageBreakBefore w:val="0"/>
        <w:numPr>
          <w:ilvl w:val="0"/>
          <w:numId w:val="0"/>
        </w:numPr>
        <w:kinsoku/>
        <w:wordWrap/>
        <w:overflowPunct/>
        <w:topLinePunct w:val="0"/>
        <w:bidi w:val="0"/>
        <w:adjustRightInd w:val="0"/>
        <w:snapToGrid w:val="0"/>
        <w:spacing w:beforeAutospacing="0" w:afterAutospacing="0" w:line="560"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shd w:val="clear" w:color="auto" w:fill="FFFFFF"/>
        </w:rPr>
        <w:t>一是</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财政收入量质双升</w:t>
      </w:r>
      <w:r>
        <w:rPr>
          <w:rFonts w:hint="eastAsia" w:ascii="仿宋_GB2312" w:hAnsi="仿宋_GB2312" w:eastAsia="仿宋_GB2312" w:cs="仿宋_GB2312"/>
          <w:b w:val="0"/>
          <w:bCs w:val="0"/>
          <w:i w:val="0"/>
          <w:iCs w:val="0"/>
          <w:caps w:val="0"/>
          <w:color w:val="auto"/>
          <w:spacing w:val="0"/>
          <w:sz w:val="32"/>
          <w:szCs w:val="32"/>
          <w:shd w:val="clear" w:color="auto" w:fill="FFFFFF"/>
        </w:rPr>
        <w:t>。</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准确研判收入形势，全力挖潜增收，加强组织调度，做到均衡入库、应收尽收。上半年实现</w:t>
      </w:r>
      <w:r>
        <w:rPr>
          <w:rFonts w:hint="eastAsia" w:ascii="仿宋_GB2312" w:hAnsi="仿宋_GB2312" w:eastAsia="仿宋_GB2312" w:cs="仿宋_GB2312"/>
          <w:b w:val="0"/>
          <w:bCs w:val="0"/>
          <w:color w:val="auto"/>
          <w:sz w:val="32"/>
          <w:szCs w:val="32"/>
          <w:lang w:val="en-US" w:eastAsia="zh-CN"/>
        </w:rPr>
        <w:t>一般公共预算收入</w:t>
      </w:r>
      <w:r>
        <w:rPr>
          <w:rFonts w:hint="eastAsia" w:ascii="仿宋_GB2312" w:hAnsi="仿宋_GB2312" w:eastAsia="仿宋_GB2312" w:cs="仿宋_GB2312"/>
          <w:b w:val="0"/>
          <w:bCs w:val="0"/>
          <w:color w:val="auto"/>
          <w:sz w:val="32"/>
          <w:szCs w:val="32"/>
        </w:rPr>
        <w:t>同比增长</w:t>
      </w:r>
      <w:r>
        <w:rPr>
          <w:rFonts w:hint="eastAsia" w:ascii="仿宋_GB2312" w:hAnsi="仿宋_GB2312" w:eastAsia="仿宋_GB2312" w:cs="仿宋_GB2312"/>
          <w:b w:val="0"/>
          <w:bCs w:val="0"/>
          <w:color w:val="auto"/>
          <w:sz w:val="32"/>
          <w:szCs w:val="32"/>
          <w:lang w:val="en-US" w:eastAsia="zh-CN"/>
        </w:rPr>
        <w:t>4450</w:t>
      </w:r>
      <w:r>
        <w:rPr>
          <w:rFonts w:hint="eastAsia" w:ascii="仿宋_GB2312" w:hAnsi="仿宋_GB2312" w:eastAsia="仿宋_GB2312" w:cs="仿宋_GB2312"/>
          <w:b w:val="0"/>
          <w:bCs w:val="0"/>
          <w:color w:val="auto"/>
          <w:sz w:val="32"/>
          <w:szCs w:val="32"/>
        </w:rPr>
        <w:t>万元，增幅</w:t>
      </w:r>
      <w:r>
        <w:rPr>
          <w:rFonts w:hint="eastAsia" w:ascii="仿宋_GB2312" w:hAnsi="仿宋_GB2312" w:eastAsia="仿宋_GB2312" w:cs="仿宋_GB2312"/>
          <w:b w:val="0"/>
          <w:bCs w:val="0"/>
          <w:color w:val="auto"/>
          <w:sz w:val="32"/>
          <w:szCs w:val="32"/>
          <w:lang w:eastAsia="zh-CN"/>
        </w:rPr>
        <w:t>达</w:t>
      </w:r>
      <w:r>
        <w:rPr>
          <w:rFonts w:hint="eastAsia" w:ascii="仿宋_GB2312" w:hAnsi="仿宋_GB2312" w:eastAsia="仿宋_GB2312" w:cs="仿宋_GB2312"/>
          <w:b w:val="0"/>
          <w:bCs w:val="0"/>
          <w:color w:val="auto"/>
          <w:sz w:val="32"/>
          <w:szCs w:val="32"/>
          <w:lang w:val="en-US" w:eastAsia="zh-CN"/>
        </w:rPr>
        <w:t>10.29</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顺利完成“双过半”目标，税收占比较去年呈上升趋势</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二是</w:t>
      </w:r>
      <w:r>
        <w:rPr>
          <w:rFonts w:hint="eastAsia" w:ascii="仿宋_GB2312" w:hAnsi="仿宋_GB2312" w:eastAsia="仿宋_GB2312" w:cs="仿宋_GB2312"/>
          <w:b w:val="0"/>
          <w:bCs w:val="0"/>
          <w:color w:val="auto"/>
          <w:sz w:val="32"/>
          <w:szCs w:val="32"/>
          <w:lang w:val="en-US" w:eastAsia="zh-CN"/>
        </w:rPr>
        <w:t>对</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上争取有力有效。抓实抓细“三争三促”</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吃透政策重点、精心谋划项目，确保最大化抓住上级政策释放的“红利”</w:t>
      </w:r>
      <w:r>
        <w:rPr>
          <w:rFonts w:hint="eastAsia" w:ascii="仿宋_GB2312" w:hAnsi="仿宋_GB2312" w:eastAsia="仿宋_GB2312" w:cs="仿宋_GB2312"/>
          <w:b w:val="0"/>
          <w:bCs w:val="0"/>
          <w:color w:val="auto"/>
          <w:sz w:val="32"/>
          <w:szCs w:val="32"/>
          <w:lang w:val="en-US" w:eastAsia="zh-CN"/>
        </w:rPr>
        <w:t>。上半年全县完成对上争取资金316018万元，完成目标数510000万元的61.96%，为县内重点项目建设和经济社会发展提供了有力支撑。三是“三资”管理提质增效。持续深化国有“三资”管理改革，深度清理盘点“三资”底数，科学有序推进盘活利用。上半年新增近期可利用资产35585万元，灵活运用“用售租融”等方式，完成6家行政事业单位12处低效资产盘活工作，实现收益343万元。</w:t>
      </w:r>
    </w:p>
    <w:p w14:paraId="6338209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val="0"/>
        <w:snapToGrid w:val="0"/>
        <w:spacing w:before="0" w:beforeAutospacing="0" w:after="0" w:afterAutospacing="0" w:line="560" w:lineRule="exact"/>
        <w:ind w:left="0" w:right="0" w:firstLine="640" w:firstLineChars="200"/>
        <w:jc w:val="both"/>
        <w:rPr>
          <w:rFonts w:hint="eastAsia" w:ascii="楷体_GB2312" w:hAnsi="楷体_GB2312" w:eastAsia="楷体_GB2312" w:cs="楷体_GB2312"/>
          <w:b w:val="0"/>
          <w:bCs w:val="0"/>
          <w:i w:val="0"/>
          <w:iCs w:val="0"/>
          <w:caps w:val="0"/>
          <w:color w:val="auto"/>
          <w:spacing w:val="0"/>
          <w:sz w:val="32"/>
          <w:szCs w:val="32"/>
          <w:u w:val="none"/>
        </w:rPr>
      </w:pPr>
      <w:r>
        <w:rPr>
          <w:rFonts w:hint="eastAsia" w:ascii="楷体_GB2312" w:hAnsi="楷体_GB2312" w:eastAsia="楷体_GB2312" w:cs="楷体_GB2312"/>
          <w:b w:val="0"/>
          <w:bCs w:val="0"/>
          <w:i w:val="0"/>
          <w:iCs w:val="0"/>
          <w:caps w:val="0"/>
          <w:color w:val="auto"/>
          <w:spacing w:val="0"/>
          <w:sz w:val="32"/>
          <w:szCs w:val="32"/>
          <w:u w:val="none"/>
          <w:shd w:val="clear" w:color="auto" w:fill="FFFFFF"/>
        </w:rPr>
        <w:t>（</w:t>
      </w:r>
      <w:r>
        <w:rPr>
          <w:rFonts w:hint="eastAsia" w:ascii="楷体_GB2312" w:hAnsi="楷体_GB2312" w:eastAsia="楷体_GB2312" w:cs="楷体_GB2312"/>
          <w:b w:val="0"/>
          <w:bCs w:val="0"/>
          <w:i w:val="0"/>
          <w:iCs w:val="0"/>
          <w:caps w:val="0"/>
          <w:color w:val="auto"/>
          <w:spacing w:val="0"/>
          <w:sz w:val="32"/>
          <w:szCs w:val="32"/>
          <w:u w:val="none"/>
          <w:shd w:val="clear" w:color="auto" w:fill="FFFFFF"/>
          <w:lang w:val="en-US" w:eastAsia="zh-CN"/>
        </w:rPr>
        <w:t>二</w:t>
      </w:r>
      <w:r>
        <w:rPr>
          <w:rFonts w:hint="eastAsia" w:ascii="楷体_GB2312" w:hAnsi="楷体_GB2312" w:eastAsia="楷体_GB2312" w:cs="楷体_GB2312"/>
          <w:b w:val="0"/>
          <w:bCs w:val="0"/>
          <w:i w:val="0"/>
          <w:iCs w:val="0"/>
          <w:caps w:val="0"/>
          <w:color w:val="auto"/>
          <w:spacing w:val="0"/>
          <w:sz w:val="32"/>
          <w:szCs w:val="32"/>
          <w:u w:val="none"/>
          <w:shd w:val="clear" w:color="auto" w:fill="FFFFFF"/>
        </w:rPr>
        <w:t>）民生为本</w:t>
      </w:r>
      <w:r>
        <w:rPr>
          <w:rFonts w:hint="eastAsia" w:ascii="楷体_GB2312" w:hAnsi="楷体_GB2312" w:eastAsia="楷体_GB2312" w:cs="楷体_GB2312"/>
          <w:b w:val="0"/>
          <w:bCs w:val="0"/>
          <w:i w:val="0"/>
          <w:iCs w:val="0"/>
          <w:caps w:val="0"/>
          <w:color w:val="auto"/>
          <w:spacing w:val="0"/>
          <w:sz w:val="32"/>
          <w:szCs w:val="32"/>
          <w:u w:val="none"/>
          <w:shd w:val="clear" w:color="auto" w:fill="FFFFFF"/>
          <w:lang w:eastAsia="zh-CN"/>
        </w:rPr>
        <w:t>筑根基</w:t>
      </w:r>
      <w:r>
        <w:rPr>
          <w:rFonts w:hint="eastAsia" w:ascii="楷体_GB2312" w:hAnsi="楷体_GB2312" w:eastAsia="楷体_GB2312" w:cs="楷体_GB2312"/>
          <w:b w:val="0"/>
          <w:bCs w:val="0"/>
          <w:i w:val="0"/>
          <w:iCs w:val="0"/>
          <w:caps w:val="0"/>
          <w:color w:val="auto"/>
          <w:spacing w:val="0"/>
          <w:sz w:val="32"/>
          <w:szCs w:val="32"/>
          <w:u w:val="none"/>
          <w:shd w:val="clear" w:color="auto" w:fill="FFFFFF"/>
        </w:rPr>
        <w:t>，</w:t>
      </w:r>
      <w:r>
        <w:rPr>
          <w:rFonts w:hint="eastAsia" w:ascii="楷体_GB2312" w:hAnsi="楷体_GB2312" w:eastAsia="楷体_GB2312" w:cs="楷体_GB2312"/>
          <w:b w:val="0"/>
          <w:bCs w:val="0"/>
          <w:i w:val="0"/>
          <w:iCs w:val="0"/>
          <w:caps w:val="0"/>
          <w:color w:val="auto"/>
          <w:spacing w:val="0"/>
          <w:sz w:val="32"/>
          <w:szCs w:val="32"/>
          <w:u w:val="none"/>
          <w:shd w:val="clear" w:color="auto" w:fill="FFFFFF"/>
          <w:lang w:eastAsia="zh-CN"/>
        </w:rPr>
        <w:t>全面促进福祉提升</w:t>
      </w:r>
    </w:p>
    <w:p w14:paraId="38B361C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val="0"/>
        <w:snapToGrid w:val="0"/>
        <w:spacing w:before="0" w:beforeAutospacing="0" w:after="0" w:afterAutospacing="0" w:line="560" w:lineRule="exact"/>
        <w:ind w:right="0" w:firstLine="640" w:firstLineChars="200"/>
        <w:jc w:val="both"/>
        <w:rPr>
          <w:rFonts w:hint="default" w:ascii="仿宋_GB2312" w:hAnsi="仿宋_GB2312" w:eastAsia="仿宋_GB2312" w:cs="仿宋_GB2312"/>
          <w:b w:val="0"/>
          <w:bCs w:val="0"/>
          <w:i w:val="0"/>
          <w:iCs w:val="0"/>
          <w:caps w:val="0"/>
          <w:color w:val="auto"/>
          <w:spacing w:val="0"/>
          <w:sz w:val="32"/>
          <w:szCs w:val="32"/>
          <w:u w:val="none"/>
          <w:shd w:val="clear" w:color="auto" w:fill="FFFFFF"/>
          <w:lang w:val="en-US"/>
        </w:rPr>
      </w:pPr>
      <w:r>
        <w:rPr>
          <w:rFonts w:hint="eastAsia" w:ascii="仿宋_GB2312" w:hAnsi="仿宋_GB2312" w:eastAsia="仿宋_GB2312" w:cs="仿宋_GB2312"/>
          <w:b w:val="0"/>
          <w:bCs w:val="0"/>
          <w:i w:val="0"/>
          <w:iCs w:val="0"/>
          <w:caps w:val="0"/>
          <w:color w:val="auto"/>
          <w:spacing w:val="0"/>
          <w:sz w:val="32"/>
          <w:szCs w:val="32"/>
          <w:u w:val="none"/>
          <w:shd w:val="clear" w:color="auto" w:fill="FFFFFF"/>
        </w:rPr>
        <w:t>一是</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eastAsia="zh-CN"/>
        </w:rPr>
        <w:t>持续加大教育投入。</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上半年全县教育支出35702万元，同比增长3.04%，有力地支持了</w:t>
      </w:r>
      <w:r>
        <w:rPr>
          <w:rFonts w:hint="eastAsia" w:ascii="仿宋_GB2312" w:hAnsi="仿宋_GB2312" w:eastAsia="仿宋_GB2312" w:cs="仿宋_GB2312"/>
          <w:b w:val="0"/>
          <w:bCs w:val="0"/>
          <w:i w:val="0"/>
          <w:iCs w:val="0"/>
          <w:caps w:val="0"/>
          <w:color w:val="auto"/>
          <w:spacing w:val="0"/>
          <w:sz w:val="32"/>
          <w:szCs w:val="32"/>
          <w:u w:val="none"/>
          <w:shd w:val="clear" w:color="auto" w:fill="FFFFFF"/>
        </w:rPr>
        <w:t>学校基础设施建设、教师队伍培养和教育教学改革，</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eastAsia="zh-CN"/>
        </w:rPr>
        <w:t>助力</w:t>
      </w:r>
      <w:r>
        <w:rPr>
          <w:rFonts w:hint="eastAsia" w:ascii="仿宋_GB2312" w:hAnsi="仿宋_GB2312" w:eastAsia="仿宋_GB2312" w:cs="仿宋_GB2312"/>
          <w:b w:val="0"/>
          <w:bCs w:val="0"/>
          <w:i w:val="0"/>
          <w:iCs w:val="0"/>
          <w:caps w:val="0"/>
          <w:color w:val="auto"/>
          <w:spacing w:val="0"/>
          <w:sz w:val="32"/>
          <w:szCs w:val="32"/>
          <w:u w:val="none"/>
          <w:shd w:val="clear" w:color="auto" w:fill="FFFFFF"/>
        </w:rPr>
        <w:t>教育</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eastAsia="zh-CN"/>
        </w:rPr>
        <w:t>事业优质均衡发展。</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二是持续推进民生改善。坚持在发展中保障和改善民生，</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t>落实社会救助支出8488万元、医疗救助支出1017万元、</w:t>
      </w:r>
      <w:r>
        <w:rPr>
          <w:rFonts w:hint="eastAsia" w:ascii="仿宋_GB2312" w:hAnsi="仿宋_GB2312" w:eastAsia="仿宋_GB2312" w:cs="仿宋_GB2312"/>
          <w:b w:val="0"/>
          <w:bCs w:val="0"/>
          <w:color w:val="auto"/>
          <w:sz w:val="32"/>
          <w:szCs w:val="32"/>
          <w:highlight w:val="none"/>
          <w:lang w:val="en-US" w:eastAsia="zh-CN"/>
        </w:rPr>
        <w:t>就业补助支出242</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t>万元，民生保障网越织越牢，群众获得感、幸福感、安全感不断提升。三是持续推进乡村振兴。进一步加大资金统筹力度，上半年落实衔接资金5060万元支持巩固拓展脱贫攻坚成果，投入资金4500万元</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用于高标准农田建设，发放耕地地力保护补贴资金4234万元，</w:t>
      </w:r>
      <w:r>
        <w:rPr>
          <w:rFonts w:hint="eastAsia" w:ascii="仿宋_GB2312" w:hAnsi="仿宋_GB2312" w:eastAsia="仿宋_GB2312" w:cs="仿宋_GB2312"/>
          <w:b w:val="0"/>
          <w:bCs w:val="0"/>
          <w:color w:val="auto"/>
          <w:kern w:val="2"/>
          <w:sz w:val="32"/>
          <w:szCs w:val="32"/>
          <w:lang w:val="en-US" w:eastAsia="zh-CN" w:bidi="ar-SA"/>
        </w:rPr>
        <w:t>投入资金222万元支持6个农村公益事业项目建设，助力农业农村现代化和乡村振兴高质量发展。</w:t>
      </w:r>
    </w:p>
    <w:p w14:paraId="2AE3D69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val="0"/>
        <w:snapToGrid w:val="0"/>
        <w:spacing w:before="0" w:beforeAutospacing="0" w:after="0" w:afterAutospacing="0" w:line="560" w:lineRule="exact"/>
        <w:ind w:left="0" w:right="0" w:firstLine="640" w:firstLineChars="200"/>
        <w:jc w:val="both"/>
        <w:rPr>
          <w:rFonts w:hint="eastAsia" w:ascii="楷体_GB2312" w:hAnsi="楷体_GB2312" w:eastAsia="楷体_GB2312" w:cs="楷体_GB2312"/>
          <w:b w:val="0"/>
          <w:bCs w:val="0"/>
          <w:i w:val="0"/>
          <w:iCs w:val="0"/>
          <w:caps w:val="0"/>
          <w:color w:val="auto"/>
          <w:spacing w:val="0"/>
          <w:sz w:val="32"/>
          <w:szCs w:val="32"/>
          <w:u w:val="none"/>
        </w:rPr>
      </w:pPr>
      <w:r>
        <w:rPr>
          <w:rFonts w:hint="eastAsia" w:ascii="楷体_GB2312" w:hAnsi="楷体_GB2312" w:eastAsia="楷体_GB2312" w:cs="楷体_GB2312"/>
          <w:b w:val="0"/>
          <w:bCs w:val="0"/>
          <w:i w:val="0"/>
          <w:iCs w:val="0"/>
          <w:caps w:val="0"/>
          <w:color w:val="auto"/>
          <w:spacing w:val="0"/>
          <w:sz w:val="32"/>
          <w:szCs w:val="32"/>
          <w:u w:val="none"/>
          <w:shd w:val="clear" w:color="auto" w:fill="FFFFFF"/>
        </w:rPr>
        <w:t>（</w:t>
      </w:r>
      <w:r>
        <w:rPr>
          <w:rFonts w:hint="eastAsia" w:ascii="楷体_GB2312" w:hAnsi="楷体_GB2312" w:eastAsia="楷体_GB2312" w:cs="楷体_GB2312"/>
          <w:b w:val="0"/>
          <w:bCs w:val="0"/>
          <w:i w:val="0"/>
          <w:iCs w:val="0"/>
          <w:caps w:val="0"/>
          <w:color w:val="auto"/>
          <w:spacing w:val="0"/>
          <w:sz w:val="32"/>
          <w:szCs w:val="32"/>
          <w:u w:val="none"/>
          <w:shd w:val="clear" w:color="auto" w:fill="FFFFFF"/>
          <w:lang w:val="en-US" w:eastAsia="zh-CN"/>
        </w:rPr>
        <w:t>三</w:t>
      </w:r>
      <w:r>
        <w:rPr>
          <w:rFonts w:hint="eastAsia" w:ascii="楷体_GB2312" w:hAnsi="楷体_GB2312" w:eastAsia="楷体_GB2312" w:cs="楷体_GB2312"/>
          <w:b w:val="0"/>
          <w:bCs w:val="0"/>
          <w:i w:val="0"/>
          <w:iCs w:val="0"/>
          <w:caps w:val="0"/>
          <w:color w:val="auto"/>
          <w:spacing w:val="0"/>
          <w:sz w:val="32"/>
          <w:szCs w:val="32"/>
          <w:u w:val="none"/>
          <w:shd w:val="clear" w:color="auto" w:fill="FFFFFF"/>
        </w:rPr>
        <w:t>）精准施策严监管，多维筑牢安全屏障</w:t>
      </w:r>
    </w:p>
    <w:p w14:paraId="3BC23D48">
      <w:pPr>
        <w:keepNext w:val="0"/>
        <w:keepLines w:val="0"/>
        <w:pageBreakBefore w:val="0"/>
        <w:widowControl/>
        <w:numPr>
          <w:ilvl w:val="0"/>
          <w:numId w:val="0"/>
        </w:numPr>
        <w:kinsoku/>
        <w:wordWrap/>
        <w:overflowPunct/>
        <w:topLinePunct w:val="0"/>
        <w:autoSpaceDE w:val="0"/>
        <w:autoSpaceDN w:val="0"/>
        <w:bidi w:val="0"/>
        <w:adjustRightInd w:val="0"/>
        <w:snapToGrid w:val="0"/>
        <w:spacing w:beforeAutospacing="0" w:afterAutospacing="0" w:line="560" w:lineRule="exact"/>
        <w:ind w:firstLine="640" w:firstLineChars="200"/>
        <w:jc w:val="both"/>
        <w:textAlignment w:val="baseline"/>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一是兜牢“三保”底线。牢固树立“三保”优先意识，全面落实“三保”支出保障责任，足额编制“三保”预算，加强“三保”运行分析和库款调度保障，上半年落实“三保”支出96442万元。二是严守财经纪律。结合深入贯彻中央八项规定精神学习教育内容，强化财政管理，完善内控机制，落实落细习惯过紧日子要求。持续推进“大监督”长效机制建设，</w:t>
      </w:r>
      <w:r>
        <w:rPr>
          <w:rFonts w:hint="eastAsia" w:ascii="仿宋_GB2312" w:hAnsi="仿宋_GB2312" w:eastAsia="仿宋_GB2312" w:cs="仿宋_GB2312"/>
          <w:b w:val="0"/>
          <w:bCs w:val="0"/>
          <w:color w:val="auto"/>
          <w:sz w:val="32"/>
          <w:szCs w:val="32"/>
          <w:lang w:val="en-US" w:eastAsia="zh-CN"/>
        </w:rPr>
        <w:t>加强财会监督与纪检监督、巡察监督、审计监督等各类监督主体贯通协调融合。</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三是严防债务风险。规范专项债券项目全生命周期管理，</w:t>
      </w:r>
      <w:r>
        <w:rPr>
          <w:rFonts w:hint="eastAsia" w:ascii="仿宋_GB2312" w:eastAsia="仿宋_GB2312"/>
          <w:b w:val="0"/>
          <w:bCs w:val="0"/>
          <w:color w:val="auto"/>
          <w:sz w:val="32"/>
          <w:szCs w:val="32"/>
          <w:lang w:val="en-US" w:eastAsia="zh-CN"/>
        </w:rPr>
        <w:t>确保债券资金在“借、用、管、还”各环节安全高效运行。继续</w:t>
      </w:r>
      <w:r>
        <w:rPr>
          <w:rFonts w:ascii="仿宋_GB2312" w:eastAsia="仿宋_GB2312"/>
          <w:b w:val="0"/>
          <w:bCs w:val="0"/>
          <w:color w:val="auto"/>
          <w:sz w:val="32"/>
          <w:szCs w:val="32"/>
        </w:rPr>
        <w:t>保持高压态势</w:t>
      </w:r>
      <w:r>
        <w:rPr>
          <w:rFonts w:hint="eastAsia" w:ascii="仿宋_GB2312" w:eastAsia="仿宋_GB2312"/>
          <w:b w:val="0"/>
          <w:bCs w:val="0"/>
          <w:color w:val="auto"/>
          <w:sz w:val="32"/>
          <w:szCs w:val="32"/>
          <w:lang w:eastAsia="zh-CN"/>
        </w:rPr>
        <w:t>，坚决</w:t>
      </w:r>
      <w:r>
        <w:rPr>
          <w:rFonts w:ascii="仿宋_GB2312" w:eastAsia="仿宋_GB2312"/>
          <w:b w:val="0"/>
          <w:bCs w:val="0"/>
          <w:color w:val="auto"/>
          <w:sz w:val="32"/>
          <w:szCs w:val="32"/>
        </w:rPr>
        <w:t>遏制</w:t>
      </w:r>
      <w:r>
        <w:rPr>
          <w:rFonts w:hint="eastAsia" w:ascii="仿宋_GB2312" w:eastAsia="仿宋_GB2312"/>
          <w:b w:val="0"/>
          <w:bCs w:val="0"/>
          <w:color w:val="auto"/>
          <w:sz w:val="32"/>
          <w:szCs w:val="32"/>
          <w:lang w:eastAsia="zh-CN"/>
        </w:rPr>
        <w:t>新增</w:t>
      </w:r>
      <w:r>
        <w:rPr>
          <w:rFonts w:hint="eastAsia" w:ascii="仿宋_GB2312" w:eastAsia="仿宋_GB2312"/>
          <w:b w:val="0"/>
          <w:bCs w:val="0"/>
          <w:color w:val="auto"/>
          <w:sz w:val="32"/>
          <w:szCs w:val="32"/>
        </w:rPr>
        <w:t>政府</w:t>
      </w:r>
      <w:r>
        <w:rPr>
          <w:rFonts w:ascii="仿宋_GB2312" w:eastAsia="仿宋_GB2312"/>
          <w:b w:val="0"/>
          <w:bCs w:val="0"/>
          <w:color w:val="auto"/>
          <w:sz w:val="32"/>
          <w:szCs w:val="32"/>
        </w:rPr>
        <w:t>隐性债务，</w:t>
      </w:r>
      <w:r>
        <w:rPr>
          <w:rFonts w:hint="eastAsia" w:ascii="仿宋_GB2312" w:eastAsia="仿宋_GB2312"/>
          <w:b w:val="0"/>
          <w:bCs w:val="0"/>
          <w:color w:val="auto"/>
          <w:sz w:val="32"/>
          <w:szCs w:val="32"/>
          <w:lang w:eastAsia="zh-CN"/>
        </w:rPr>
        <w:t>有序推进存量隐性债务化解，按时足额归还到期政府债券本息，确保守紧兜牢政府债务风险</w:t>
      </w:r>
      <w:r>
        <w:rPr>
          <w:rFonts w:hint="eastAsia" w:ascii="仿宋_GB2312" w:eastAsia="仿宋_GB2312"/>
          <w:b w:val="0"/>
          <w:bCs w:val="0"/>
          <w:color w:val="auto"/>
          <w:sz w:val="32"/>
          <w:szCs w:val="32"/>
          <w:lang w:val="en-US" w:eastAsia="zh-CN"/>
        </w:rPr>
        <w:t>。</w:t>
      </w:r>
    </w:p>
    <w:p w14:paraId="10797567">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val="0"/>
        <w:snapToGrid w:val="0"/>
        <w:spacing w:before="0" w:beforeAutospacing="0" w:after="0" w:afterAutospacing="0" w:line="560" w:lineRule="exact"/>
        <w:ind w:left="0" w:leftChars="0" w:right="0" w:rightChars="0" w:firstLine="640" w:firstLineChars="200"/>
        <w:jc w:val="both"/>
        <w:rPr>
          <w:rFonts w:hint="eastAsia" w:ascii="楷体_GB2312" w:hAnsi="楷体_GB2312" w:eastAsia="楷体_GB2312" w:cs="楷体_GB2312"/>
          <w:b w:val="0"/>
          <w:bCs w:val="0"/>
          <w:i w:val="0"/>
          <w:iCs w:val="0"/>
          <w:caps w:val="0"/>
          <w:color w:val="auto"/>
          <w:spacing w:val="0"/>
          <w:sz w:val="32"/>
          <w:szCs w:val="32"/>
          <w:u w:val="none"/>
          <w:shd w:val="clear" w:color="auto" w:fill="FFFFFF"/>
        </w:rPr>
      </w:pPr>
      <w:r>
        <w:rPr>
          <w:rFonts w:hint="eastAsia" w:ascii="楷体_GB2312" w:hAnsi="楷体_GB2312" w:eastAsia="楷体_GB2312" w:cs="楷体_GB2312"/>
          <w:b w:val="0"/>
          <w:bCs w:val="0"/>
          <w:i w:val="0"/>
          <w:iCs w:val="0"/>
          <w:caps w:val="0"/>
          <w:color w:val="auto"/>
          <w:spacing w:val="0"/>
          <w:kern w:val="0"/>
          <w:sz w:val="32"/>
          <w:szCs w:val="32"/>
          <w:shd w:val="clear" w:color="auto" w:fill="FFFFFF"/>
          <w:lang w:val="en-US" w:eastAsia="zh-CN" w:bidi="ar"/>
        </w:rPr>
        <w:t>（四）</w:t>
      </w:r>
      <w:r>
        <w:rPr>
          <w:rFonts w:hint="eastAsia" w:ascii="楷体_GB2312" w:hAnsi="楷体_GB2312" w:eastAsia="楷体_GB2312" w:cs="楷体_GB2312"/>
          <w:b w:val="0"/>
          <w:bCs w:val="0"/>
          <w:i w:val="0"/>
          <w:iCs w:val="0"/>
          <w:caps w:val="0"/>
          <w:color w:val="auto"/>
          <w:spacing w:val="0"/>
          <w:sz w:val="32"/>
          <w:szCs w:val="32"/>
          <w:u w:val="none"/>
          <w:shd w:val="clear" w:color="auto" w:fill="FFFFFF"/>
        </w:rPr>
        <w:t>改革创新提质效，加快推进管理升级</w:t>
      </w:r>
    </w:p>
    <w:p w14:paraId="0FDE05F0">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val="0"/>
        <w:snapToGrid w:val="0"/>
        <w:spacing w:before="0" w:beforeAutospacing="0" w:after="0" w:afterAutospacing="0" w:line="560" w:lineRule="exact"/>
        <w:ind w:right="0" w:rightChars="0" w:firstLine="640" w:firstLineChars="200"/>
        <w:jc w:val="both"/>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t>一是财政科学管理稳步推进。聚焦财政科学管理改革任务，结合实际系统制定改革举措，强化预算刚性约束和支出项目排序，优先保主保重，从严从紧控制一般性支出，上半年全县“三公”经费支出同比下降8.18%。</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二是</w:t>
      </w:r>
      <w:r>
        <w:rPr>
          <w:rFonts w:hint="eastAsia" w:ascii="仿宋_GB2312" w:hAnsi="仿宋_GB2312" w:eastAsia="仿宋_GB2312" w:cs="仿宋_GB2312"/>
          <w:b w:val="0"/>
          <w:bCs w:val="0"/>
          <w:color w:val="auto"/>
          <w:sz w:val="32"/>
          <w:szCs w:val="32"/>
          <w:lang w:val="en-US" w:eastAsia="zh-CN"/>
        </w:rPr>
        <w:t>财政票据改革纵深推进</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w:t>
      </w:r>
      <w:r>
        <w:rPr>
          <w:rFonts w:hint="eastAsia" w:ascii="仿宋_GB2312" w:hAnsi="仿宋_GB2312" w:eastAsia="仿宋_GB2312" w:cs="仿宋_GB2312"/>
          <w:b w:val="0"/>
          <w:bCs w:val="0"/>
          <w:color w:val="auto"/>
          <w:sz w:val="32"/>
          <w:szCs w:val="32"/>
          <w:lang w:val="en-US" w:eastAsia="zh-CN"/>
        </w:rPr>
        <w:t>依托非税与财政票据管理一体化系统，全面推行电子化征缴，缴款率达96.71%，较2024年末提升16.72个百分点，强化票据核销与资金收缴联动管理，累计核销电子票据65万份。</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三是国资国</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t>企改革持续深化。《国企改革深化提升行动（2023—2025年）重点任务分工》中制定的48项主体任务已完成46项，</w:t>
      </w:r>
      <w:r>
        <w:rPr>
          <w:rFonts w:hint="eastAsia" w:ascii="仿宋_GB2312" w:hAnsi="仿宋_GB2312" w:eastAsia="仿宋_GB2312" w:cs="仿宋_GB2312"/>
          <w:b w:val="0"/>
          <w:bCs w:val="0"/>
          <w:color w:val="auto"/>
          <w:sz w:val="32"/>
          <w:szCs w:val="32"/>
          <w:highlight w:val="none"/>
        </w:rPr>
        <w:t>综合完成率</w:t>
      </w:r>
      <w:r>
        <w:rPr>
          <w:rFonts w:hint="eastAsia" w:ascii="仿宋_GB2312" w:hAnsi="仿宋_GB2312" w:eastAsia="仿宋_GB2312" w:cs="仿宋_GB2312"/>
          <w:b w:val="0"/>
          <w:bCs w:val="0"/>
          <w:color w:val="auto"/>
          <w:sz w:val="32"/>
          <w:szCs w:val="32"/>
          <w:highlight w:val="none"/>
          <w:lang w:eastAsia="zh-CN"/>
        </w:rPr>
        <w:t>达</w:t>
      </w:r>
      <w:r>
        <w:rPr>
          <w:rFonts w:hint="eastAsia" w:ascii="仿宋_GB2312" w:hAnsi="仿宋_GB2312" w:eastAsia="仿宋_GB2312" w:cs="仿宋_GB2312"/>
          <w:b w:val="0"/>
          <w:bCs w:val="0"/>
          <w:color w:val="auto"/>
          <w:sz w:val="32"/>
          <w:szCs w:val="32"/>
          <w:highlight w:val="none"/>
        </w:rPr>
        <w:t>99.4</w:t>
      </w:r>
      <w:r>
        <w:rPr>
          <w:rFonts w:hint="eastAsia" w:ascii="仿宋_GB2312" w:hAnsi="仿宋_GB2312" w:eastAsia="仿宋_GB2312" w:cs="仿宋_GB2312"/>
          <w:b w:val="0"/>
          <w:bCs w:val="0"/>
          <w:color w:val="auto"/>
          <w:sz w:val="32"/>
          <w:szCs w:val="32"/>
          <w:highlight w:val="none"/>
          <w:lang w:val="en-US" w:eastAsia="zh-CN"/>
        </w:rPr>
        <w:t>0</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t>为国企“实体化、产业化、市场化”转型提供坚实支撑。</w:t>
      </w:r>
    </w:p>
    <w:p w14:paraId="36674606">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val="0"/>
        <w:snapToGrid w:val="0"/>
        <w:spacing w:before="0" w:beforeAutospacing="0" w:after="0" w:afterAutospacing="0" w:line="560" w:lineRule="exact"/>
        <w:ind w:left="0" w:leftChars="0" w:right="0" w:rightChars="0" w:firstLine="640" w:firstLineChars="200"/>
        <w:jc w:val="left"/>
        <w:rPr>
          <w:rFonts w:hint="eastAsia" w:ascii="楷体_GB2312" w:hAnsi="楷体_GB2312" w:eastAsia="楷体_GB2312" w:cs="楷体_GB2312"/>
          <w:b w:val="0"/>
          <w:bCs w:val="0"/>
          <w:i w:val="0"/>
          <w:iCs w:val="0"/>
          <w:caps w:val="0"/>
          <w:color w:val="auto"/>
          <w:spacing w:val="0"/>
          <w:sz w:val="32"/>
          <w:szCs w:val="32"/>
          <w:u w:val="none"/>
          <w:shd w:val="clear" w:color="auto" w:fill="FFFFFF"/>
        </w:rPr>
      </w:pPr>
      <w:r>
        <w:rPr>
          <w:rFonts w:hint="eastAsia" w:ascii="楷体_GB2312" w:hAnsi="楷体_GB2312" w:eastAsia="楷体_GB2312" w:cs="楷体_GB2312"/>
          <w:b w:val="0"/>
          <w:bCs w:val="0"/>
          <w:i w:val="0"/>
          <w:iCs w:val="0"/>
          <w:caps w:val="0"/>
          <w:color w:val="auto"/>
          <w:spacing w:val="0"/>
          <w:kern w:val="0"/>
          <w:sz w:val="32"/>
          <w:szCs w:val="32"/>
          <w:shd w:val="clear" w:fill="FFFFFF"/>
          <w:lang w:val="en-US" w:eastAsia="zh-CN" w:bidi="ar"/>
        </w:rPr>
        <w:t>（五）</w:t>
      </w:r>
      <w:r>
        <w:rPr>
          <w:rFonts w:hint="eastAsia" w:ascii="楷体_GB2312" w:hAnsi="楷体_GB2312" w:eastAsia="楷体_GB2312" w:cs="楷体_GB2312"/>
          <w:b w:val="0"/>
          <w:bCs w:val="0"/>
          <w:i w:val="0"/>
          <w:iCs w:val="0"/>
          <w:caps w:val="0"/>
          <w:color w:val="auto"/>
          <w:spacing w:val="0"/>
          <w:sz w:val="32"/>
          <w:szCs w:val="32"/>
          <w:u w:val="none"/>
          <w:shd w:val="clear" w:color="auto" w:fill="FFFFFF"/>
        </w:rPr>
        <w:t>政策赋能优服务，持续激发发展动能</w:t>
      </w:r>
    </w:p>
    <w:p w14:paraId="412FBE90">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仿宋_GB2312" w:hAnsi="仿宋_GB2312" w:eastAsia="仿宋_GB2312" w:cs="仿宋_GB2312"/>
          <w:b w:val="0"/>
          <w:bCs w:val="0"/>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t>一是金融赋能提升惠企质效。推进</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eastAsia="zh-CN"/>
        </w:rPr>
        <w:t>财政</w:t>
      </w:r>
      <w:r>
        <w:rPr>
          <w:rFonts w:hint="eastAsia" w:ascii="仿宋_GB2312" w:hAnsi="仿宋_GB2312" w:eastAsia="仿宋_GB2312" w:cs="仿宋_GB2312"/>
          <w:b w:val="0"/>
          <w:bCs w:val="0"/>
          <w:color w:val="auto"/>
          <w:sz w:val="32"/>
          <w:szCs w:val="32"/>
          <w:highlight w:val="none"/>
          <w:lang w:val="en-US" w:eastAsia="zh-CN"/>
        </w:rPr>
        <w:t>+金融</w:t>
      </w:r>
      <w:r>
        <w:rPr>
          <w:rFonts w:hint="eastAsia" w:ascii="仿宋_GB2312" w:hAnsi="仿宋_GB2312" w:eastAsia="仿宋_GB2312" w:cs="仿宋_GB2312"/>
          <w:b w:val="0"/>
          <w:bCs w:val="0"/>
          <w:color w:val="auto"/>
          <w:sz w:val="32"/>
          <w:szCs w:val="32"/>
          <w:highlight w:val="none"/>
          <w:lang w:eastAsia="zh-CN"/>
        </w:rPr>
        <w:t>”投融资体制改革，</w:t>
      </w:r>
      <w:r>
        <w:rPr>
          <w:rFonts w:hint="eastAsia" w:ascii="仿宋_GB2312" w:hAnsi="仿宋_GB2312" w:eastAsia="仿宋_GB2312" w:cs="仿宋_GB2312"/>
          <w:b w:val="0"/>
          <w:bCs w:val="0"/>
          <w:color w:val="auto"/>
          <w:sz w:val="32"/>
          <w:szCs w:val="32"/>
          <w:highlight w:val="none"/>
          <w:lang w:val="en-US" w:eastAsia="zh-CN"/>
        </w:rPr>
        <w:t>上半年政府性担保在保项目3809笔，在保余额136731万元；新增创业担保贷款723笔，贷款金额48247万元。</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二是评审提速强化服务保障。</w:t>
      </w:r>
      <w:r>
        <w:rPr>
          <w:rFonts w:hint="eastAsia" w:ascii="仿宋_GB2312" w:hAnsi="仿宋_GB2312" w:eastAsia="仿宋_GB2312" w:cs="仿宋_GB2312"/>
          <w:b w:val="0"/>
          <w:bCs w:val="0"/>
          <w:color w:val="auto"/>
          <w:sz w:val="32"/>
          <w:szCs w:val="32"/>
          <w:lang w:val="en-US" w:eastAsia="zh-CN"/>
        </w:rPr>
        <w:t>创新实施“绿色通道”“容缺评审”等服务模式，对向上争取资金类预算评审项目实行“限时办结制”，做到随到随审，上半年高效完成评审项目48个，接收预算评审项目11个，送审金额24686万元。三是采购融通破解企业难题</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。加快推进政府采购合同融资，</w:t>
      </w:r>
      <w:r>
        <w:rPr>
          <w:rFonts w:hint="eastAsia" w:ascii="仿宋_GB2312" w:hAnsi="仿宋_GB2312" w:eastAsia="仿宋_GB2312" w:cs="仿宋_GB2312"/>
          <w:b w:val="0"/>
          <w:bCs w:val="0"/>
          <w:color w:val="auto"/>
          <w:sz w:val="32"/>
          <w:szCs w:val="32"/>
          <w:lang w:val="en-US" w:eastAsia="zh-CN"/>
        </w:rPr>
        <w:t>上半年“政采贷”达7188万元，位于全市前列，制定出台《秭归县政府采购合同融资财政贴息实施方案》，切实缓解全县中小企业资金周转压力。</w:t>
      </w:r>
    </w:p>
    <w:p w14:paraId="796CF493">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kern w:val="0"/>
          <w:sz w:val="32"/>
          <w:szCs w:val="32"/>
          <w:lang w:eastAsia="zh-CN"/>
        </w:rPr>
        <w:t>四、</w:t>
      </w:r>
      <w:r>
        <w:rPr>
          <w:rFonts w:ascii="Times New Roman" w:hAnsi="Times New Roman" w:eastAsia="黑体" w:cs="黑体"/>
          <w:color w:val="auto"/>
          <w:kern w:val="0"/>
          <w:sz w:val="31"/>
          <w:szCs w:val="31"/>
          <w:lang w:val="en-US" w:eastAsia="zh-CN" w:bidi="ar"/>
        </w:rPr>
        <w:t>存在的主要问题</w:t>
      </w:r>
    </w:p>
    <w:p w14:paraId="0C5390CC">
      <w:pPr>
        <w:keepNext w:val="0"/>
        <w:keepLines w:val="0"/>
        <w:pageBreakBefore w:val="0"/>
        <w:widowControl w:val="0"/>
        <w:kinsoku/>
        <w:wordWrap/>
        <w:overflowPunct/>
        <w:topLinePunct w:val="0"/>
        <w:bidi w:val="0"/>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仿宋_GB2312" w:hAnsi="仿宋_GB2312" w:eastAsia="仿宋_GB2312" w:cs="仿宋_GB2312"/>
          <w:b w:val="0"/>
          <w:bCs w:val="0"/>
          <w:sz w:val="32"/>
          <w:szCs w:val="32"/>
          <w:lang w:val="en-US" w:eastAsia="zh-CN"/>
        </w:rPr>
        <w:t>尽管2025年上半年财政运行平稳有序，但是我们也清醒地看到，当前财政运行面临着一些困难和问题：</w:t>
      </w:r>
      <w:r>
        <w:rPr>
          <w:rFonts w:hint="eastAsia" w:ascii="楷体_GB2312" w:hAnsi="楷体_GB2312" w:eastAsia="楷体_GB2312" w:cs="楷体_GB2312"/>
          <w:sz w:val="32"/>
          <w:szCs w:val="32"/>
          <w:lang w:val="en-US" w:eastAsia="zh-CN"/>
        </w:rPr>
        <w:t>一是收入增长承压。</w:t>
      </w:r>
      <w:r>
        <w:rPr>
          <w:rFonts w:hint="eastAsia" w:ascii="仿宋_GB2312" w:hAnsi="仿宋_GB2312" w:eastAsia="仿宋_GB2312" w:cs="仿宋_GB2312"/>
          <w:b w:val="0"/>
          <w:bCs w:val="0"/>
          <w:sz w:val="32"/>
          <w:szCs w:val="32"/>
          <w:lang w:val="en-US" w:eastAsia="zh-CN"/>
        </w:rPr>
        <w:t>受经济下行压力较大、建筑业与房地产业两大行业持续低迷等因素影响，财政收</w:t>
      </w:r>
      <w:r>
        <w:rPr>
          <w:rFonts w:hint="eastAsia" w:ascii="Times New Roman" w:hAnsi="Times New Roman" w:eastAsia="仿宋_GB2312" w:cs="仿宋_GB2312"/>
          <w:b w:val="0"/>
          <w:bCs w:val="0"/>
          <w:sz w:val="32"/>
          <w:szCs w:val="32"/>
          <w:lang w:val="en-US" w:eastAsia="zh-CN"/>
        </w:rPr>
        <w:t>入持续稳定增长的基础并不牢固，再加上我县重点工业企业及稳定税源不多，全县财政收入增长难度持续加大。</w:t>
      </w:r>
      <w:r>
        <w:rPr>
          <w:rFonts w:hint="eastAsia" w:ascii="楷体_GB2312" w:hAnsi="楷体_GB2312" w:eastAsia="楷体_GB2312" w:cs="楷体_GB2312"/>
          <w:sz w:val="32"/>
          <w:szCs w:val="32"/>
          <w:lang w:val="en-US" w:eastAsia="zh-CN"/>
        </w:rPr>
        <w:t>二是支出刚性增长。</w:t>
      </w:r>
      <w:r>
        <w:rPr>
          <w:rFonts w:hint="eastAsia" w:ascii="仿宋_GB2312" w:eastAsia="仿宋_GB2312"/>
          <w:color w:val="auto"/>
          <w:sz w:val="32"/>
          <w:szCs w:val="32"/>
        </w:rPr>
        <w:t>“三保”支出、</w:t>
      </w:r>
      <w:r>
        <w:rPr>
          <w:rFonts w:hint="eastAsia" w:ascii="仿宋_GB2312" w:eastAsia="仿宋_GB2312"/>
          <w:color w:val="auto"/>
          <w:sz w:val="32"/>
          <w:szCs w:val="32"/>
          <w:lang w:eastAsia="zh-CN"/>
        </w:rPr>
        <w:t>债务还本付息、</w:t>
      </w:r>
      <w:r>
        <w:rPr>
          <w:rFonts w:hint="eastAsia" w:ascii="仿宋_GB2312" w:eastAsia="仿宋_GB2312"/>
          <w:color w:val="auto"/>
          <w:sz w:val="32"/>
          <w:szCs w:val="32"/>
          <w:lang w:val="en-US" w:eastAsia="zh-CN"/>
        </w:rPr>
        <w:t>PPP项目政府付费</w:t>
      </w:r>
      <w:r>
        <w:rPr>
          <w:rFonts w:hint="eastAsia" w:ascii="仿宋_GB2312" w:eastAsia="仿宋_GB2312"/>
          <w:color w:val="auto"/>
          <w:sz w:val="32"/>
          <w:szCs w:val="32"/>
        </w:rPr>
        <w:t>等</w:t>
      </w:r>
      <w:r>
        <w:rPr>
          <w:rFonts w:hint="eastAsia" w:ascii="仿宋_GB2312" w:eastAsia="仿宋_GB2312"/>
          <w:color w:val="auto"/>
          <w:sz w:val="32"/>
          <w:szCs w:val="32"/>
          <w:lang w:eastAsia="zh-CN"/>
        </w:rPr>
        <w:t>刚性支出逐年攀升，财政支出腾挪空间十分有限，紧平衡态势进一步加剧。</w:t>
      </w:r>
      <w:r>
        <w:rPr>
          <w:rFonts w:hint="eastAsia" w:ascii="楷体_GB2312" w:hAnsi="楷体_GB2312" w:eastAsia="楷体_GB2312" w:cs="楷体_GB2312"/>
          <w:sz w:val="32"/>
          <w:szCs w:val="32"/>
          <w:lang w:eastAsia="zh-CN"/>
        </w:rPr>
        <w:t>三是绩效意识不强。</w:t>
      </w:r>
      <w:r>
        <w:rPr>
          <w:rFonts w:hint="eastAsia" w:ascii="仿宋_GB2312" w:hAnsi="仿宋_GB2312" w:eastAsia="仿宋_GB2312" w:cs="仿宋_GB2312"/>
          <w:sz w:val="32"/>
          <w:szCs w:val="32"/>
          <w:lang w:eastAsia="zh-CN"/>
        </w:rPr>
        <w:t>“花钱要问效，无效必问责”意识树立不牢，财政资金效益未充分发挥，绩效评价结果应用不充分，以绩效定增减的管理机制有待健全。</w:t>
      </w:r>
    </w:p>
    <w:p w14:paraId="5AA634C9">
      <w:pPr>
        <w:keepNext w:val="0"/>
        <w:keepLines w:val="0"/>
        <w:pageBreakBefore w:val="0"/>
        <w:widowControl w:val="0"/>
        <w:kinsoku/>
        <w:wordWrap/>
        <w:overflowPunct/>
        <w:topLinePunct w:val="0"/>
        <w:autoSpaceDE/>
        <w:autoSpaceDN/>
        <w:bidi w:val="0"/>
        <w:adjustRightInd/>
        <w:snapToGrid/>
        <w:spacing w:line="560" w:lineRule="exact"/>
        <w:ind w:leftChars="0" w:right="0" w:rightChars="0" w:firstLine="640" w:firstLineChars="200"/>
        <w:jc w:val="both"/>
        <w:textAlignment w:val="auto"/>
        <w:rPr>
          <w:rFonts w:hint="eastAsia" w:ascii="Times New Roman" w:hAnsi="Times New Roman" w:eastAsia="黑体" w:cs="黑体"/>
          <w:color w:val="auto"/>
          <w:sz w:val="32"/>
          <w:szCs w:val="32"/>
          <w:highlight w:val="none"/>
        </w:rPr>
      </w:pPr>
      <w:r>
        <w:rPr>
          <w:rFonts w:hint="eastAsia" w:ascii="黑体" w:hAnsi="黑体" w:eastAsia="黑体" w:cs="黑体"/>
          <w:color w:val="auto"/>
          <w:kern w:val="0"/>
          <w:sz w:val="32"/>
          <w:szCs w:val="32"/>
          <w:lang w:eastAsia="zh-CN"/>
        </w:rPr>
        <w:t>五、</w:t>
      </w:r>
      <w:r>
        <w:rPr>
          <w:rFonts w:hint="eastAsia" w:ascii="Times New Roman" w:hAnsi="Times New Roman" w:eastAsia="黑体"/>
          <w:color w:val="auto"/>
          <w:sz w:val="32"/>
          <w:szCs w:val="32"/>
          <w:highlight w:val="none"/>
        </w:rPr>
        <w:t>下半年</w:t>
      </w:r>
      <w:r>
        <w:rPr>
          <w:rFonts w:hint="eastAsia" w:ascii="Times New Roman" w:hAnsi="Times New Roman" w:eastAsia="黑体"/>
          <w:color w:val="auto"/>
          <w:sz w:val="32"/>
          <w:szCs w:val="32"/>
          <w:highlight w:val="none"/>
          <w:lang w:eastAsia="zh-CN"/>
        </w:rPr>
        <w:t>重点工作安排</w:t>
      </w:r>
    </w:p>
    <w:p w14:paraId="0D8EB642">
      <w:pPr>
        <w:keepNext w:val="0"/>
        <w:keepLines w:val="0"/>
        <w:pageBreakBefore w:val="0"/>
        <w:widowControl w:val="0"/>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640" w:firstLineChars="200"/>
        <w:textAlignment w:val="auto"/>
        <w:rPr>
          <w:rFonts w:ascii="仿宋_GB2312" w:eastAsia="仿宋_GB2312"/>
          <w:b w:val="0"/>
          <w:bCs w:val="0"/>
          <w:color w:val="auto"/>
          <w:sz w:val="32"/>
          <w:szCs w:val="32"/>
        </w:rPr>
      </w:pPr>
      <w:r>
        <w:rPr>
          <w:rFonts w:hint="eastAsia" w:ascii="楷体_GB2312" w:hAnsi="黑体" w:eastAsia="楷体_GB2312"/>
          <w:b w:val="0"/>
          <w:bCs w:val="0"/>
          <w:color w:val="auto"/>
          <w:sz w:val="32"/>
          <w:szCs w:val="32"/>
          <w:lang w:eastAsia="zh-CN"/>
        </w:rPr>
        <w:t>（</w:t>
      </w:r>
      <w:r>
        <w:rPr>
          <w:rFonts w:hint="eastAsia" w:ascii="楷体_GB2312" w:hAnsi="黑体" w:eastAsia="楷体_GB2312"/>
          <w:b w:val="0"/>
          <w:bCs w:val="0"/>
          <w:color w:val="auto"/>
          <w:sz w:val="32"/>
          <w:szCs w:val="32"/>
          <w:lang w:val="en-US" w:eastAsia="zh-CN"/>
        </w:rPr>
        <w:t>一</w:t>
      </w:r>
      <w:r>
        <w:rPr>
          <w:rFonts w:hint="eastAsia" w:ascii="楷体_GB2312" w:hAnsi="黑体" w:eastAsia="楷体_GB2312"/>
          <w:b w:val="0"/>
          <w:bCs w:val="0"/>
          <w:color w:val="auto"/>
          <w:sz w:val="32"/>
          <w:szCs w:val="32"/>
          <w:lang w:eastAsia="zh-CN"/>
        </w:rPr>
        <w:t>）</w:t>
      </w:r>
      <w:r>
        <w:rPr>
          <w:rFonts w:hint="eastAsia" w:ascii="楷体_GB2312" w:hAnsi="黑体" w:eastAsia="楷体_GB2312"/>
          <w:b w:val="0"/>
          <w:bCs w:val="0"/>
          <w:color w:val="auto"/>
          <w:sz w:val="32"/>
          <w:szCs w:val="32"/>
        </w:rPr>
        <w:t>坚持</w:t>
      </w:r>
      <w:r>
        <w:rPr>
          <w:rFonts w:hint="eastAsia" w:ascii="楷体_GB2312" w:hAnsi="黑体" w:eastAsia="楷体_GB2312"/>
          <w:b w:val="0"/>
          <w:bCs w:val="0"/>
          <w:color w:val="auto"/>
          <w:sz w:val="32"/>
          <w:szCs w:val="32"/>
          <w:lang w:val="en-US" w:eastAsia="zh-CN"/>
        </w:rPr>
        <w:t>稳中有进</w:t>
      </w:r>
      <w:r>
        <w:rPr>
          <w:rFonts w:hint="eastAsia" w:ascii="楷体_GB2312" w:hAnsi="黑体" w:eastAsia="楷体_GB2312"/>
          <w:b w:val="0"/>
          <w:bCs w:val="0"/>
          <w:color w:val="auto"/>
          <w:sz w:val="32"/>
          <w:szCs w:val="32"/>
        </w:rPr>
        <w:t>，</w:t>
      </w:r>
      <w:r>
        <w:rPr>
          <w:rFonts w:hint="eastAsia" w:ascii="楷体_GB2312" w:hAnsi="黑体" w:eastAsia="楷体_GB2312"/>
          <w:b w:val="0"/>
          <w:bCs w:val="0"/>
          <w:color w:val="auto"/>
          <w:sz w:val="32"/>
          <w:szCs w:val="32"/>
          <w:lang w:val="en-US" w:eastAsia="zh-CN"/>
        </w:rPr>
        <w:t>做好开源“生财”文章</w:t>
      </w:r>
      <w:r>
        <w:rPr>
          <w:rFonts w:hint="eastAsia" w:ascii="楷体_GB2312" w:hAnsi="黑体" w:eastAsia="楷体_GB2312"/>
          <w:b w:val="0"/>
          <w:bCs w:val="0"/>
          <w:color w:val="auto"/>
          <w:sz w:val="32"/>
          <w:szCs w:val="32"/>
        </w:rPr>
        <w:t>。</w:t>
      </w:r>
      <w:r>
        <w:rPr>
          <w:rFonts w:hint="eastAsia" w:ascii="仿宋_GB2312" w:eastAsia="仿宋_GB2312"/>
          <w:b w:val="0"/>
          <w:bCs w:val="0"/>
          <w:color w:val="auto"/>
          <w:sz w:val="32"/>
          <w:szCs w:val="32"/>
        </w:rPr>
        <w:t>围绕收入预期目标，</w:t>
      </w:r>
      <w:r>
        <w:rPr>
          <w:rFonts w:hint="eastAsia" w:ascii="仿宋_GB2312" w:eastAsia="仿宋_GB2312"/>
          <w:b w:val="0"/>
          <w:bCs w:val="0"/>
          <w:color w:val="auto"/>
          <w:sz w:val="32"/>
          <w:szCs w:val="32"/>
          <w:lang w:eastAsia="zh-CN"/>
        </w:rPr>
        <w:t>以大小齐抓、颗粒归仓的认识强化收入征管。全面研判</w:t>
      </w:r>
      <w:r>
        <w:rPr>
          <w:rFonts w:hint="eastAsia" w:ascii="仿宋_GB2312" w:eastAsia="仿宋_GB2312" w:cs="Times New Roman"/>
          <w:b w:val="0"/>
          <w:bCs w:val="0"/>
          <w:color w:val="auto"/>
          <w:sz w:val="32"/>
          <w:szCs w:val="32"/>
        </w:rPr>
        <w:t>收入形势</w:t>
      </w:r>
      <w:r>
        <w:rPr>
          <w:rFonts w:ascii="仿宋_GB2312" w:eastAsia="仿宋_GB2312" w:cs="Times New Roman"/>
          <w:b w:val="0"/>
          <w:bCs w:val="0"/>
          <w:color w:val="auto"/>
          <w:sz w:val="32"/>
          <w:szCs w:val="32"/>
        </w:rPr>
        <w:t>，</w:t>
      </w:r>
      <w:r>
        <w:rPr>
          <w:rFonts w:hint="eastAsia" w:ascii="仿宋_GB2312" w:eastAsia="仿宋_GB2312" w:cs="Times New Roman"/>
          <w:b w:val="0"/>
          <w:bCs w:val="0"/>
          <w:color w:val="auto"/>
          <w:sz w:val="32"/>
          <w:szCs w:val="32"/>
          <w:lang w:eastAsia="zh-CN"/>
        </w:rPr>
        <w:t>健全协税护税机制</w:t>
      </w:r>
      <w:r>
        <w:rPr>
          <w:rFonts w:hint="eastAsia" w:ascii="仿宋_GB2312" w:eastAsia="仿宋_GB2312" w:cs="Times New Roman"/>
          <w:b w:val="0"/>
          <w:bCs w:val="0"/>
          <w:color w:val="auto"/>
          <w:sz w:val="32"/>
          <w:szCs w:val="32"/>
        </w:rPr>
        <w:t>，</w:t>
      </w:r>
      <w:r>
        <w:rPr>
          <w:rFonts w:hint="eastAsia" w:ascii="仿宋_GB2312" w:eastAsia="仿宋_GB2312" w:cs="Times New Roman"/>
          <w:b w:val="0"/>
          <w:bCs w:val="0"/>
          <w:color w:val="auto"/>
          <w:sz w:val="32"/>
          <w:szCs w:val="32"/>
          <w:lang w:val="en-US" w:eastAsia="zh-CN"/>
        </w:rPr>
        <w:t>强化动态监管，力促应缴尽缴</w:t>
      </w:r>
      <w:r>
        <w:rPr>
          <w:rFonts w:hint="eastAsia" w:ascii="仿宋_GB2312" w:eastAsia="仿宋_GB2312" w:cs="Times New Roman"/>
          <w:b w:val="0"/>
          <w:bCs w:val="0"/>
          <w:color w:val="auto"/>
          <w:sz w:val="32"/>
          <w:szCs w:val="32"/>
        </w:rPr>
        <w:t>。</w:t>
      </w:r>
      <w:r>
        <w:rPr>
          <w:rFonts w:hint="eastAsia" w:ascii="仿宋_GB2312" w:eastAsia="仿宋_GB2312" w:cs="Times New Roman"/>
          <w:b w:val="0"/>
          <w:bCs w:val="0"/>
          <w:color w:val="auto"/>
          <w:sz w:val="32"/>
          <w:szCs w:val="32"/>
          <w:lang w:eastAsia="zh-CN"/>
        </w:rPr>
        <w:t>密切关注上级政策动向，积极争取更大力度的政策、项目和资金支持，超前梳理项目资金需求，提高项目储备质量。持续提升国有“三资”管理质效，积极盘活各类存量资源和闲置资产，在更广领域、更深层次加大财政资源和预算统筹力度</w:t>
      </w:r>
      <w:r>
        <w:rPr>
          <w:rFonts w:hint="eastAsia" w:ascii="仿宋_GB2312" w:eastAsia="仿宋_GB2312"/>
          <w:b w:val="0"/>
          <w:bCs w:val="0"/>
          <w:color w:val="auto"/>
          <w:sz w:val="32"/>
          <w:szCs w:val="32"/>
        </w:rPr>
        <w:t>。</w:t>
      </w:r>
    </w:p>
    <w:p w14:paraId="19F839BF">
      <w:pPr>
        <w:keepNext w:val="0"/>
        <w:keepLines w:val="0"/>
        <w:pageBreakBefore w:val="0"/>
        <w:widowControl w:val="0"/>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640" w:firstLineChars="200"/>
        <w:textAlignment w:val="auto"/>
        <w:rPr>
          <w:rFonts w:hint="eastAsia" w:ascii="仿宋_GB2312" w:hAnsi="仿宋_GB2312" w:eastAsia="仿宋_GB2312" w:cs="仿宋_GB2312"/>
          <w:b w:val="0"/>
          <w:bCs w:val="0"/>
          <w:color w:val="auto"/>
          <w:sz w:val="32"/>
          <w:szCs w:val="32"/>
          <w:lang w:eastAsia="zh-CN"/>
        </w:rPr>
      </w:pPr>
      <w:r>
        <w:rPr>
          <w:rFonts w:hint="eastAsia" w:ascii="楷体_GB2312" w:hAnsi="黑体" w:eastAsia="楷体_GB2312"/>
          <w:b w:val="0"/>
          <w:bCs w:val="0"/>
          <w:color w:val="auto"/>
          <w:sz w:val="32"/>
          <w:szCs w:val="32"/>
          <w:lang w:eastAsia="zh-CN"/>
        </w:rPr>
        <w:t>（</w:t>
      </w:r>
      <w:r>
        <w:rPr>
          <w:rFonts w:hint="eastAsia" w:ascii="楷体_GB2312" w:hAnsi="黑体" w:eastAsia="楷体_GB2312"/>
          <w:b w:val="0"/>
          <w:bCs w:val="0"/>
          <w:color w:val="auto"/>
          <w:sz w:val="32"/>
          <w:szCs w:val="32"/>
          <w:lang w:val="en-US" w:eastAsia="zh-CN"/>
        </w:rPr>
        <w:t>二</w:t>
      </w:r>
      <w:r>
        <w:rPr>
          <w:rFonts w:hint="eastAsia" w:ascii="楷体_GB2312" w:hAnsi="黑体" w:eastAsia="楷体_GB2312"/>
          <w:b w:val="0"/>
          <w:bCs w:val="0"/>
          <w:color w:val="auto"/>
          <w:sz w:val="32"/>
          <w:szCs w:val="32"/>
          <w:lang w:eastAsia="zh-CN"/>
        </w:rPr>
        <w:t>）</w:t>
      </w:r>
      <w:r>
        <w:rPr>
          <w:rFonts w:hint="eastAsia" w:ascii="楷体_GB2312" w:hAnsi="黑体" w:eastAsia="楷体_GB2312"/>
          <w:b w:val="0"/>
          <w:bCs w:val="0"/>
          <w:color w:val="auto"/>
          <w:sz w:val="32"/>
          <w:szCs w:val="32"/>
        </w:rPr>
        <w:t>坚持</w:t>
      </w:r>
      <w:r>
        <w:rPr>
          <w:rFonts w:hint="eastAsia" w:ascii="楷体_GB2312" w:hAnsi="黑体" w:eastAsia="楷体_GB2312"/>
          <w:b w:val="0"/>
          <w:bCs w:val="0"/>
          <w:color w:val="auto"/>
          <w:sz w:val="32"/>
          <w:szCs w:val="32"/>
          <w:lang w:val="en-US" w:eastAsia="zh-CN"/>
        </w:rPr>
        <w:t>攻坚克难</w:t>
      </w:r>
      <w:r>
        <w:rPr>
          <w:rFonts w:ascii="楷体_GB2312" w:hAnsi="黑体" w:eastAsia="楷体_GB2312"/>
          <w:b w:val="0"/>
          <w:bCs w:val="0"/>
          <w:color w:val="auto"/>
          <w:sz w:val="32"/>
          <w:szCs w:val="32"/>
        </w:rPr>
        <w:t>，</w:t>
      </w:r>
      <w:r>
        <w:rPr>
          <w:rFonts w:hint="eastAsia" w:ascii="楷体_GB2312" w:hAnsi="黑体" w:eastAsia="楷体_GB2312"/>
          <w:b w:val="0"/>
          <w:bCs w:val="0"/>
          <w:color w:val="auto"/>
          <w:sz w:val="32"/>
          <w:szCs w:val="32"/>
          <w:lang w:val="en-US" w:eastAsia="zh-CN"/>
        </w:rPr>
        <w:t>做好为民“用财”文章</w:t>
      </w:r>
      <w:r>
        <w:rPr>
          <w:rFonts w:hint="eastAsia" w:ascii="楷体_GB2312" w:hAnsi="黑体" w:eastAsia="楷体_GB2312"/>
          <w:b w:val="0"/>
          <w:bCs w:val="0"/>
          <w:color w:val="auto"/>
          <w:sz w:val="32"/>
          <w:szCs w:val="32"/>
        </w:rPr>
        <w:t>。</w:t>
      </w:r>
      <w:r>
        <w:rPr>
          <w:rFonts w:hint="eastAsia" w:ascii="仿宋_GB2312" w:hAnsi="仿宋_GB2312" w:eastAsia="仿宋_GB2312" w:cs="仿宋_GB2312"/>
          <w:b w:val="0"/>
          <w:bCs w:val="0"/>
          <w:color w:val="auto"/>
          <w:sz w:val="32"/>
          <w:szCs w:val="32"/>
          <w:lang w:eastAsia="zh-CN"/>
        </w:rPr>
        <w:t>牢固树立党政机关习惯</w:t>
      </w:r>
      <w:r>
        <w:rPr>
          <w:rFonts w:hint="eastAsia" w:ascii="仿宋_GB2312" w:hAnsi="仿宋_GB2312" w:eastAsia="仿宋_GB2312" w:cs="仿宋_GB2312"/>
          <w:b w:val="0"/>
          <w:bCs w:val="0"/>
          <w:color w:val="auto"/>
          <w:sz w:val="32"/>
          <w:szCs w:val="32"/>
        </w:rPr>
        <w:t>过紧日子</w:t>
      </w:r>
      <w:r>
        <w:rPr>
          <w:rFonts w:hint="eastAsia" w:ascii="仿宋_GB2312" w:hAnsi="仿宋_GB2312" w:eastAsia="仿宋_GB2312" w:cs="仿宋_GB2312"/>
          <w:b w:val="0"/>
          <w:bCs w:val="0"/>
          <w:color w:val="auto"/>
          <w:sz w:val="32"/>
          <w:szCs w:val="32"/>
          <w:lang w:eastAsia="zh-CN"/>
        </w:rPr>
        <w:t>思想</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lang w:eastAsia="zh-CN"/>
        </w:rPr>
        <w:t>坚持勤俭办一切事业，</w:t>
      </w:r>
      <w:r>
        <w:rPr>
          <w:rFonts w:hint="eastAsia" w:ascii="仿宋_GB2312" w:hAnsi="仿宋_GB2312" w:eastAsia="仿宋_GB2312" w:cs="仿宋_GB2312"/>
          <w:b w:val="0"/>
          <w:bCs w:val="0"/>
          <w:color w:val="auto"/>
          <w:sz w:val="32"/>
          <w:szCs w:val="32"/>
        </w:rPr>
        <w:t>强化“非预算不支出、非刚性不支出”的用钱理念，</w:t>
      </w:r>
      <w:r>
        <w:rPr>
          <w:rFonts w:hint="eastAsia" w:ascii="仿宋_GB2312" w:hAnsi="仿宋_GB2312" w:eastAsia="仿宋_GB2312" w:cs="仿宋_GB2312"/>
          <w:b w:val="0"/>
          <w:bCs w:val="0"/>
          <w:color w:val="auto"/>
          <w:sz w:val="32"/>
          <w:szCs w:val="32"/>
          <w:lang w:val="en-US" w:eastAsia="zh-CN"/>
        </w:rPr>
        <w:t>加强“三公”经费管理</w:t>
      </w:r>
      <w:r>
        <w:rPr>
          <w:rFonts w:hint="eastAsia" w:ascii="仿宋_GB2312" w:hAnsi="仿宋_GB2312" w:eastAsia="仿宋_GB2312" w:cs="仿宋_GB2312"/>
          <w:b w:val="0"/>
          <w:bCs w:val="0"/>
          <w:color w:val="auto"/>
          <w:sz w:val="32"/>
          <w:szCs w:val="32"/>
          <w:lang w:eastAsia="zh-CN"/>
        </w:rPr>
        <w:t>。坚持节用裕民，硬</w:t>
      </w:r>
      <w:r>
        <w:rPr>
          <w:rFonts w:hint="eastAsia" w:ascii="仿宋_GB2312" w:hAnsi="仿宋_GB2312" w:eastAsia="仿宋_GB2312" w:cs="仿宋_GB2312"/>
          <w:b w:val="0"/>
          <w:bCs w:val="0"/>
          <w:color w:val="auto"/>
          <w:sz w:val="32"/>
          <w:szCs w:val="32"/>
          <w:lang w:val="en-US" w:eastAsia="zh-CN"/>
        </w:rPr>
        <w:t>化预算执行约束，不断优化支出结构，</w:t>
      </w:r>
      <w:r>
        <w:rPr>
          <w:rFonts w:hint="eastAsia" w:ascii="仿宋_GB2312" w:hAnsi="仿宋_GB2312" w:eastAsia="仿宋_GB2312" w:cs="仿宋_GB2312"/>
          <w:b w:val="0"/>
          <w:bCs w:val="0"/>
          <w:color w:val="auto"/>
          <w:sz w:val="32"/>
          <w:szCs w:val="32"/>
          <w:lang w:eastAsia="zh-CN"/>
        </w:rPr>
        <w:t>提高大事要事保障能力，大力压减一般性支出，腾出更多资金用于民生所盼、发展所需，</w:t>
      </w:r>
      <w:r>
        <w:rPr>
          <w:rFonts w:hint="eastAsia" w:ascii="仿宋_GB2312" w:hAnsi="仿宋_GB2312" w:eastAsia="仿宋_GB2312" w:cs="仿宋_GB2312"/>
          <w:b w:val="0"/>
          <w:bCs w:val="0"/>
          <w:color w:val="auto"/>
          <w:sz w:val="32"/>
          <w:szCs w:val="32"/>
          <w:lang w:val="en-US" w:eastAsia="zh-CN"/>
        </w:rPr>
        <w:t>确保把有限的财政资金花在刀刃上。</w:t>
      </w:r>
    </w:p>
    <w:p w14:paraId="7658BC01">
      <w:pPr>
        <w:keepNext w:val="0"/>
        <w:keepLines w:val="0"/>
        <w:pageBreakBefore w:val="0"/>
        <w:widowControl w:val="0"/>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黑体" w:eastAsia="楷体_GB2312" w:cs="Times New Roman"/>
          <w:b w:val="0"/>
          <w:bCs w:val="0"/>
          <w:color w:val="auto"/>
          <w:sz w:val="32"/>
          <w:szCs w:val="32"/>
          <w:lang w:val="en-US" w:eastAsia="zh-CN"/>
        </w:rPr>
        <w:t>（三）坚持底线思维，做好依法“管财”文章。</w:t>
      </w:r>
      <w:r>
        <w:rPr>
          <w:rFonts w:hint="eastAsia" w:ascii="仿宋_GB2312" w:hAnsi="仿宋_GB2312" w:eastAsia="仿宋_GB2312" w:cs="仿宋_GB2312"/>
          <w:b w:val="0"/>
          <w:bCs w:val="0"/>
          <w:color w:val="auto"/>
          <w:sz w:val="32"/>
          <w:szCs w:val="32"/>
          <w:lang w:val="en-US" w:eastAsia="zh-CN"/>
        </w:rPr>
        <w:t>加强政府投资项目财政管理，做实财力支撑分析和财力论证，严防新增隐性债务。加强政府债务风险监测和分析，按时偿还政府债务。加强债券项目跟踪监控，加快债券资金拨付，提高债券资金使用效益。加强“三保”预算编制源头管控，优先足额保障“三保”支出，兜牢兜实“三保”底线。深入开展重点领域财政资金专项监督检查，加大财会监督力度，严肃财经纪律。</w:t>
      </w:r>
    </w:p>
    <w:p w14:paraId="1ED900AD">
      <w:pPr>
        <w:keepNext w:val="0"/>
        <w:keepLines w:val="0"/>
        <w:pageBreakBefore w:val="0"/>
        <w:widowControl w:val="0"/>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黑体" w:eastAsia="楷体_GB2312" w:cs="Times New Roman"/>
          <w:b w:val="0"/>
          <w:bCs w:val="0"/>
          <w:color w:val="auto"/>
          <w:sz w:val="32"/>
          <w:szCs w:val="32"/>
          <w:lang w:val="en-US" w:eastAsia="zh-CN"/>
        </w:rPr>
        <w:t>（四）坚持锐意改革，做好科学“理财”文章。</w:t>
      </w:r>
      <w:r>
        <w:rPr>
          <w:rFonts w:hint="eastAsia" w:ascii="仿宋_GB2312" w:hAnsi="仿宋_GB2312" w:eastAsia="仿宋_GB2312" w:cs="仿宋_GB2312"/>
          <w:b w:val="0"/>
          <w:bCs w:val="0"/>
          <w:color w:val="auto"/>
          <w:sz w:val="32"/>
          <w:szCs w:val="32"/>
          <w:lang w:val="en-US" w:eastAsia="zh-CN"/>
        </w:rPr>
        <w:t>围绕省财政厅确定的七项改革试点内容，对标对表推进财政科学管理改革，完善细化我县落实举措。深化零基预算改革，全面清理支出政策，打破支出固化僵化格局，制定重点事项保障清单。按照应保必保、该省尽省、有保有压、讲求绩效的原则完善预算安排制度，加快构建全方位、全过程、全覆盖的预算绩效管理体系，推动预算绩效管理提质增效。</w:t>
      </w:r>
    </w:p>
    <w:p w14:paraId="1EA834CB">
      <w:pPr>
        <w:keepNext w:val="0"/>
        <w:keepLines w:val="0"/>
        <w:pageBreakBefore w:val="0"/>
        <w:widowControl w:val="0"/>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auto"/>
          <w:sz w:val="32"/>
          <w:szCs w:val="32"/>
          <w:lang w:val="en-US" w:eastAsia="zh-CN"/>
        </w:rPr>
        <w:t>主任、副主任、各位委员，做好下半年的财政工作，任务艰巨、责任重大。我们有信心在县委、县政府的坚强领导下，在县人大及其常委会的监督指导下，紧紧围绕年初确定的工作目标，加压奋进、实干攻坚，为建设三峡库区生态文明实践示范县贡献力量</w:t>
      </w:r>
      <w:r>
        <w:rPr>
          <w:rFonts w:hint="eastAsia" w:ascii="仿宋_GB2312" w:hAnsi="仿宋_GB2312" w:eastAsia="仿宋_GB2312" w:cs="仿宋_GB2312"/>
          <w:sz w:val="32"/>
          <w:szCs w:val="32"/>
          <w:lang w:val="en-US" w:eastAsia="zh-CN"/>
        </w:rPr>
        <w:t>！</w:t>
      </w:r>
    </w:p>
    <w:p w14:paraId="6FC21264">
      <w:pPr>
        <w:keepNext w:val="0"/>
        <w:keepLines w:val="0"/>
        <w:pageBreakBefore w:val="0"/>
        <w:widowControl w:val="0"/>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p>
    <w:p w14:paraId="450F80FD">
      <w:pPr>
        <w:keepNext w:val="0"/>
        <w:keepLines w:val="0"/>
        <w:pageBreakBefore w:val="0"/>
        <w:widowControl w:val="0"/>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附件：1.名词解释</w:t>
      </w:r>
    </w:p>
    <w:p w14:paraId="0043E51B">
      <w:pPr>
        <w:keepNext w:val="0"/>
        <w:keepLines w:val="0"/>
        <w:pageBreakBefore w:val="0"/>
        <w:widowControl w:val="0"/>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1600" w:firstLineChars="5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2.秭归县2024年财政预算决算表</w:t>
      </w:r>
    </w:p>
    <w:p w14:paraId="2E851E84">
      <w:pPr>
        <w:keepNext w:val="0"/>
        <w:keepLines w:val="0"/>
        <w:pageBreakBefore w:val="0"/>
        <w:widowControl w:val="0"/>
        <w:numPr>
          <w:ilvl w:val="0"/>
          <w:numId w:val="0"/>
        </w:numPr>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ind w:firstLine="1600" w:firstLineChars="500"/>
        <w:jc w:val="both"/>
        <w:textAlignment w:val="auto"/>
        <w:rPr>
          <w:rFonts w:hint="eastAsia" w:ascii="仿宋_GB2312" w:hAnsi="仿宋_GB2312" w:eastAsia="仿宋_GB2312" w:cs="仿宋_GB2312"/>
          <w:color w:val="auto"/>
          <w:sz w:val="32"/>
          <w:szCs w:val="32"/>
          <w:lang w:val="en-US" w:eastAsia="zh-CN"/>
        </w:rPr>
        <w:sectPr>
          <w:footerReference r:id="rId3" w:type="default"/>
          <w:pgSz w:w="11906" w:h="16838"/>
          <w:pgMar w:top="2098" w:right="1474" w:bottom="1984" w:left="1587" w:header="851" w:footer="1587" w:gutter="0"/>
          <w:pgNumType w:fmt="numberInDash"/>
          <w:cols w:space="425" w:num="1"/>
          <w:docGrid w:type="lines" w:linePitch="312" w:charSpace="0"/>
        </w:sectPr>
      </w:pPr>
      <w:r>
        <w:rPr>
          <w:rFonts w:hint="eastAsia" w:ascii="仿宋_GB2312" w:hAnsi="仿宋_GB2312" w:eastAsia="仿宋_GB2312" w:cs="仿宋_GB2312"/>
          <w:color w:val="auto"/>
          <w:kern w:val="2"/>
          <w:sz w:val="32"/>
          <w:szCs w:val="32"/>
          <w:lang w:val="en-US" w:eastAsia="zh-CN" w:bidi="ar-SA"/>
        </w:rPr>
        <w:t>3.</w:t>
      </w:r>
      <w:r>
        <w:rPr>
          <w:rFonts w:hint="eastAsia" w:ascii="仿宋_GB2312" w:hAnsi="仿宋_GB2312" w:eastAsia="仿宋_GB2312" w:cs="仿宋_GB2312"/>
          <w:color w:val="auto"/>
          <w:sz w:val="32"/>
          <w:szCs w:val="32"/>
          <w:lang w:val="en-US" w:eastAsia="zh-CN"/>
        </w:rPr>
        <w:t>秭归县2025年上半年财政预算执行情况表</w:t>
      </w:r>
    </w:p>
    <w:p w14:paraId="011EFB19">
      <w:pPr>
        <w:keepNext w:val="0"/>
        <w:keepLines w:val="0"/>
        <w:pageBreakBefore w:val="0"/>
        <w:widowControl w:val="0"/>
        <w:numPr>
          <w:ilvl w:val="0"/>
          <w:numId w:val="0"/>
        </w:numPr>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3DEC3F18">
      <w:pPr>
        <w:keepNext w:val="0"/>
        <w:keepLines w:val="0"/>
        <w:pageBreakBefore w:val="0"/>
        <w:widowControl w:val="0"/>
        <w:numPr>
          <w:ilvl w:val="0"/>
          <w:numId w:val="0"/>
        </w:numPr>
        <w:pBdr>
          <w:top w:val="single" w:color="FFFFFF" w:sz="2" w:space="0"/>
          <w:left w:val="single" w:color="FFFFFF" w:sz="2" w:space="0"/>
          <w:bottom w:val="single" w:color="FFFFFF" w:sz="2" w:space="29"/>
          <w:right w:val="single" w:color="FFFFFF" w:sz="2" w:space="0"/>
        </w:pBdr>
        <w:kinsoku/>
        <w:wordWrap/>
        <w:overflowPunct/>
        <w:topLinePunct w:val="0"/>
        <w:autoSpaceDE w:val="0"/>
        <w:autoSpaceDN w:val="0"/>
        <w:bidi w:val="0"/>
        <w:adjustRightInd w:val="0"/>
        <w:snapToGrid w:val="0"/>
        <w:spacing w:beforeAutospacing="0" w:afterAutospacing="0" w:line="560" w:lineRule="exact"/>
        <w:jc w:val="center"/>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方正小标宋简体" w:cs="方正小标宋简体"/>
          <w:color w:val="auto"/>
          <w:kern w:val="0"/>
          <w:sz w:val="44"/>
          <w:szCs w:val="44"/>
        </w:rPr>
        <w:t>名 词 解 释</w:t>
      </w:r>
    </w:p>
    <w:p w14:paraId="616AEC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Times New Roman" w:hAnsi="Times New Roman" w:eastAsia="仿宋_GB2312"/>
          <w:color w:val="auto"/>
          <w:kern w:val="0"/>
          <w:sz w:val="32"/>
          <w:szCs w:val="32"/>
        </w:rPr>
      </w:pPr>
      <w:r>
        <w:rPr>
          <w:rFonts w:hint="eastAsia" w:ascii="楷体_GB2312" w:hAnsi="楷体_GB2312" w:eastAsia="楷体_GB2312" w:cs="楷体_GB2312"/>
          <w:color w:val="auto"/>
          <w:kern w:val="0"/>
          <w:sz w:val="32"/>
          <w:szCs w:val="32"/>
          <w:lang w:val="en-US" w:eastAsia="zh-CN"/>
        </w:rPr>
        <w:t>1.一般公共预算。</w:t>
      </w:r>
      <w:r>
        <w:rPr>
          <w:rFonts w:hint="eastAsia" w:ascii="仿宋_GB2312" w:hAnsi="仿宋_GB2312" w:eastAsia="仿宋_GB2312" w:cs="仿宋_GB2312"/>
          <w:color w:val="auto"/>
          <w:kern w:val="0"/>
          <w:sz w:val="32"/>
          <w:szCs w:val="32"/>
          <w:lang w:val="en-US" w:eastAsia="zh-CN"/>
        </w:rPr>
        <w:t>指政府凭借国家政治权力，以社会管理者身份筹集以税收为主体的财政收入，用于保障和改善民生、维持国家行政职能正常行使、保障国家安全等方面的收支预算。</w:t>
      </w:r>
    </w:p>
    <w:p w14:paraId="7965949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2.政府性基金预算。</w:t>
      </w:r>
      <w:r>
        <w:rPr>
          <w:rFonts w:hint="eastAsia" w:ascii="仿宋_GB2312" w:hAnsi="仿宋_GB2312" w:eastAsia="仿宋_GB2312" w:cs="仿宋_GB2312"/>
          <w:color w:val="auto"/>
          <w:kern w:val="0"/>
          <w:sz w:val="32"/>
          <w:szCs w:val="32"/>
          <w:lang w:val="en-US" w:eastAsia="zh-CN"/>
        </w:rPr>
        <w:t>指政府通过向社会征收基金、收费以及出让土地、发行彩票等方式取得收入，专项用于支持特定基础设施建设和社会事业发展等方面的收支预算。</w:t>
      </w:r>
    </w:p>
    <w:p w14:paraId="158C53D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3.国有资本经营预算。</w:t>
      </w:r>
      <w:r>
        <w:rPr>
          <w:rFonts w:hint="eastAsia" w:ascii="仿宋_GB2312" w:hAnsi="仿宋_GB2312" w:eastAsia="仿宋_GB2312" w:cs="仿宋_GB2312"/>
          <w:color w:val="auto"/>
          <w:kern w:val="0"/>
          <w:sz w:val="32"/>
          <w:szCs w:val="32"/>
          <w:lang w:val="en-US" w:eastAsia="zh-CN"/>
        </w:rPr>
        <w:t>指国家以所有者身份依法取得国有资本经营收益，并对所得收益进行分配而发生的收支预算。</w:t>
      </w:r>
    </w:p>
    <w:p w14:paraId="037EB4E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4.社会保险基金预算。</w:t>
      </w:r>
      <w:r>
        <w:rPr>
          <w:rFonts w:hint="eastAsia" w:ascii="仿宋_GB2312" w:hAnsi="仿宋_GB2312" w:eastAsia="仿宋_GB2312" w:cs="仿宋_GB2312"/>
          <w:color w:val="auto"/>
          <w:kern w:val="0"/>
          <w:sz w:val="32"/>
          <w:szCs w:val="32"/>
          <w:lang w:val="en-US" w:eastAsia="zh-CN"/>
        </w:rPr>
        <w:t>指根据国家社会保险和预算管理法律法规建立，反映各项社会保险基金收支的年度计划。</w:t>
      </w:r>
    </w:p>
    <w:p w14:paraId="19C6005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5.“三公”经费。</w:t>
      </w:r>
      <w:r>
        <w:rPr>
          <w:rFonts w:hint="eastAsia" w:ascii="仿宋_GB2312" w:hAnsi="仿宋_GB2312" w:eastAsia="仿宋_GB2312" w:cs="仿宋_GB2312"/>
          <w:color w:val="auto"/>
          <w:kern w:val="0"/>
          <w:sz w:val="32"/>
          <w:szCs w:val="32"/>
          <w:lang w:val="en-US" w:eastAsia="zh-CN"/>
        </w:rPr>
        <w:t>因公出国（境）费、公务用车购置及运行维护费和公务接待费。其中，因公出国（境）费反映单位公务出国（境）的国际旅费、国外城市间交通费、住宿费、伙食费、培训费、公杂费等支出；公务用车购置及运行维护费反映单位公务用车购置费及燃料费、新能源汽车充电费、维修费、过桥过路费、保险费等支出；公务接待费反映单位按规定开支的各类公务接待费用。</w:t>
      </w:r>
    </w:p>
    <w:p w14:paraId="3377396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6.一般政府债券。</w:t>
      </w:r>
      <w:r>
        <w:rPr>
          <w:rFonts w:hint="eastAsia" w:ascii="仿宋_GB2312" w:hAnsi="仿宋_GB2312" w:eastAsia="仿宋_GB2312" w:cs="仿宋_GB2312"/>
          <w:color w:val="auto"/>
          <w:kern w:val="0"/>
          <w:sz w:val="32"/>
          <w:szCs w:val="32"/>
          <w:lang w:val="en-US" w:eastAsia="zh-CN"/>
        </w:rPr>
        <w:t>是指地方政府针对没有收益的公益性事业发展举债发行的债券</w:t>
      </w:r>
      <w:r>
        <w:rPr>
          <w:rFonts w:hint="default" w:ascii="仿宋_GB2312" w:hAnsi="仿宋_GB2312" w:eastAsia="仿宋_GB2312" w:cs="仿宋_GB2312"/>
          <w:color w:val="auto"/>
          <w:kern w:val="0"/>
          <w:sz w:val="32"/>
          <w:szCs w:val="32"/>
          <w:lang w:val="en-US" w:eastAsia="zh-CN"/>
        </w:rPr>
        <w:t>，筹集资金安排的支出纳入一般公共预算管理，本金以一般公共预算收入偿还。</w:t>
      </w:r>
    </w:p>
    <w:p w14:paraId="3093DAB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7.专项政府债券。</w:t>
      </w:r>
      <w:r>
        <w:rPr>
          <w:rFonts w:hint="eastAsia" w:ascii="仿宋_GB2312" w:hAnsi="仿宋_GB2312" w:eastAsia="仿宋_GB2312" w:cs="仿宋_GB2312"/>
          <w:color w:val="auto"/>
          <w:kern w:val="0"/>
          <w:sz w:val="32"/>
          <w:szCs w:val="32"/>
          <w:lang w:val="en-US" w:eastAsia="zh-CN"/>
        </w:rPr>
        <w:t>是指地方政府针对土地储备、收费公路等有一定收益的公益性事业发展举债发行的债券</w:t>
      </w:r>
      <w:r>
        <w:rPr>
          <w:rFonts w:hint="default" w:ascii="仿宋_GB2312" w:hAnsi="仿宋_GB2312" w:eastAsia="仿宋_GB2312" w:cs="仿宋_GB2312"/>
          <w:color w:val="auto"/>
          <w:kern w:val="0"/>
          <w:sz w:val="32"/>
          <w:szCs w:val="32"/>
          <w:lang w:val="en-US" w:eastAsia="zh-CN"/>
        </w:rPr>
        <w:t>，债券的发行要对应相应的政府性基金项目，筹集资金安排的支出纳入政府性基金预算管理，本金通过对应的政府性基金或专项收入偿还。</w:t>
      </w:r>
    </w:p>
    <w:p w14:paraId="0218CBE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8.三争三促：</w:t>
      </w:r>
      <w:r>
        <w:rPr>
          <w:rFonts w:hint="eastAsia" w:ascii="仿宋_GB2312" w:hAnsi="仿宋_GB2312" w:eastAsia="仿宋_GB2312" w:cs="仿宋_GB2312"/>
          <w:color w:val="auto"/>
          <w:kern w:val="0"/>
          <w:sz w:val="32"/>
          <w:szCs w:val="32"/>
          <w:lang w:val="en-US" w:eastAsia="zh-CN"/>
        </w:rPr>
        <w:t>争项目、争资金、争政策，促投资、促转型。促发展。</w:t>
      </w:r>
    </w:p>
    <w:p w14:paraId="4D141996">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color w:val="auto"/>
          <w:kern w:val="0"/>
          <w:sz w:val="32"/>
          <w:szCs w:val="32"/>
          <w:lang w:val="en-US" w:eastAsia="zh-CN" w:bidi="ar-SA"/>
        </w:rPr>
      </w:pPr>
      <w:r>
        <w:rPr>
          <w:rFonts w:hint="eastAsia" w:ascii="楷体_GB2312" w:hAnsi="楷体_GB2312" w:eastAsia="楷体_GB2312" w:cs="楷体_GB2312"/>
          <w:color w:val="auto"/>
          <w:kern w:val="0"/>
          <w:sz w:val="32"/>
          <w:szCs w:val="32"/>
          <w:lang w:val="en-US" w:eastAsia="zh-CN"/>
        </w:rPr>
        <w:t>9.国有“三资”：</w:t>
      </w:r>
      <w:r>
        <w:rPr>
          <w:rFonts w:hint="eastAsia" w:ascii="仿宋_GB2312" w:hAnsi="仿宋_GB2312" w:eastAsia="仿宋_GB2312" w:cs="仿宋_GB2312"/>
          <w:color w:val="auto"/>
          <w:kern w:val="0"/>
          <w:sz w:val="32"/>
          <w:szCs w:val="32"/>
          <w:lang w:val="en-US" w:eastAsia="zh-CN" w:bidi="ar-SA"/>
        </w:rPr>
        <w:t>政府拥有和管控的资金、资产、资源。</w:t>
      </w:r>
    </w:p>
    <w:p w14:paraId="3EE386FF">
      <w:pPr>
        <w:pStyle w:val="2"/>
        <w:keepNext w:val="0"/>
        <w:keepLines w:val="0"/>
        <w:pageBreakBefore w:val="0"/>
        <w:widowControl w:val="0"/>
        <w:kinsoku/>
        <w:wordWrap/>
        <w:overflowPunct/>
        <w:topLinePunct w:val="0"/>
        <w:autoSpaceDE/>
        <w:autoSpaceDN/>
        <w:bidi w:val="0"/>
        <w:adjustRightInd/>
        <w:spacing w:line="560" w:lineRule="exact"/>
        <w:textAlignment w:val="auto"/>
        <w:rPr>
          <w:rFonts w:hint="default"/>
          <w:lang w:val="en-US" w:eastAsia="zh-CN"/>
        </w:rPr>
      </w:pPr>
      <w:r>
        <w:rPr>
          <w:rFonts w:hint="eastAsia" w:ascii="楷体_GB2312" w:hAnsi="楷体_GB2312" w:eastAsia="楷体_GB2312" w:cs="楷体_GB2312"/>
          <w:color w:val="auto"/>
          <w:kern w:val="0"/>
          <w:sz w:val="32"/>
          <w:szCs w:val="32"/>
          <w:lang w:val="en-US" w:eastAsia="zh-CN"/>
        </w:rPr>
        <w:t>10.“三保”支出：</w:t>
      </w:r>
      <w:r>
        <w:rPr>
          <w:rFonts w:hint="eastAsia" w:ascii="仿宋_GB2312" w:hAnsi="仿宋_GB2312" w:cs="仿宋_GB2312"/>
          <w:color w:val="auto"/>
          <w:kern w:val="0"/>
          <w:sz w:val="32"/>
          <w:szCs w:val="32"/>
          <w:lang w:val="en-US" w:eastAsia="zh-CN" w:bidi="ar-SA"/>
        </w:rPr>
        <w:t>指保基本民生、保工资、保运转支出</w:t>
      </w:r>
      <w:r>
        <w:rPr>
          <w:rFonts w:hint="eastAsia" w:ascii="仿宋_GB2312" w:hAnsi="仿宋_GB2312" w:eastAsia="仿宋_GB2312" w:cs="仿宋_GB2312"/>
          <w:color w:val="auto"/>
          <w:kern w:val="0"/>
          <w:sz w:val="32"/>
          <w:szCs w:val="32"/>
          <w:lang w:val="en-US" w:eastAsia="zh-CN" w:bidi="ar-SA"/>
        </w:rPr>
        <w:t>。</w:t>
      </w:r>
    </w:p>
    <w:p w14:paraId="0858117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11.预算绩效管理。</w:t>
      </w:r>
      <w:r>
        <w:rPr>
          <w:rFonts w:hint="eastAsia" w:ascii="仿宋_GB2312" w:hAnsi="仿宋_GB2312" w:eastAsia="仿宋_GB2312" w:cs="仿宋_GB2312"/>
          <w:color w:val="auto"/>
          <w:kern w:val="0"/>
          <w:sz w:val="32"/>
          <w:szCs w:val="32"/>
          <w:lang w:val="en-US" w:eastAsia="zh-CN"/>
        </w:rPr>
        <w:t>预算绩效是指预算资金所达到的产出和结果。预算绩效管理是政府绩效管理的重要组成部分，是一种以支出结果为导向的预算管理模式。它强化政府预算为民服务的理念，强调预算支出的责任和效率，要求在预算编制、执行、监督的全过程中更加关注预算资金的产出和结果。推进预算绩效管理，有利于提升预算管理水平、增强单位支出责任、提高公共服务质量、优化公共资源配置、节约公共支出成本。</w:t>
      </w:r>
    </w:p>
    <w:p w14:paraId="48F6C9E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12.政府采购。</w:t>
      </w:r>
      <w:r>
        <w:rPr>
          <w:rFonts w:hint="eastAsia" w:ascii="仿宋_GB2312" w:hAnsi="仿宋_GB2312" w:eastAsia="仿宋_GB2312" w:cs="仿宋_GB2312"/>
          <w:color w:val="auto"/>
          <w:kern w:val="0"/>
          <w:sz w:val="32"/>
          <w:szCs w:val="32"/>
          <w:lang w:val="en-US" w:eastAsia="zh-CN"/>
        </w:rPr>
        <w:t>指各级机关事业单位和团体组织，使用财政性资金购买依法制定的集中采购目录以内或采购限额标准以上的货物、工程和服务的行为。它不仅是指具体的采购过程，也是一种公共采购管理制度。</w:t>
      </w:r>
    </w:p>
    <w:p w14:paraId="58EE064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13.财政投资评审。</w:t>
      </w:r>
      <w:r>
        <w:rPr>
          <w:rFonts w:hint="eastAsia" w:ascii="仿宋_GB2312" w:hAnsi="仿宋_GB2312" w:eastAsia="仿宋_GB2312" w:cs="仿宋_GB2312"/>
          <w:color w:val="auto"/>
          <w:kern w:val="0"/>
          <w:sz w:val="32"/>
          <w:szCs w:val="32"/>
          <w:lang w:val="en-US" w:eastAsia="zh-CN"/>
        </w:rPr>
        <w:t>财政投资评审是财政职能的重要组成部分，是强化财政支出预算管理的重要环节。通过运用专业技术评审手段，对使用财政资金的基本建设项目和专项支出的必要性、可行性、合理性及资金来源等方面进行评审论证，对不合规行为实施监督，避免财政资金支出的盲目性和随意性，从而提高财政资金使用效益。</w:t>
      </w:r>
    </w:p>
    <w:p w14:paraId="15227B4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b w:val="0"/>
          <w:bCs w:val="0"/>
          <w:color w:val="auto"/>
          <w:kern w:val="0"/>
          <w:sz w:val="32"/>
          <w:szCs w:val="32"/>
          <w:lang w:val="en-US" w:eastAsia="zh-CN"/>
        </w:rPr>
        <w:t>14.政府和社会资本合作（PPP）。</w:t>
      </w:r>
      <w:r>
        <w:rPr>
          <w:rFonts w:hint="eastAsia" w:ascii="仿宋_GB2312" w:hAnsi="仿宋_GB2312" w:eastAsia="仿宋_GB2312" w:cs="仿宋_GB2312"/>
          <w:color w:val="auto"/>
          <w:kern w:val="0"/>
          <w:sz w:val="32"/>
          <w:szCs w:val="32"/>
          <w:lang w:val="en-US" w:eastAsia="zh-CN"/>
        </w:rPr>
        <w:t>即</w:t>
      </w:r>
      <w:r>
        <w:rPr>
          <w:rFonts w:hint="default" w:ascii="Times New Roman" w:hAnsi="Times New Roman" w:eastAsia="仿宋_GB2312" w:cs="Times New Roman"/>
          <w:color w:val="auto"/>
          <w:kern w:val="0"/>
          <w:sz w:val="32"/>
          <w:szCs w:val="32"/>
          <w:lang w:val="en-US" w:eastAsia="zh-CN"/>
        </w:rPr>
        <w:t>Public</w:t>
      </w:r>
      <w:r>
        <w:rPr>
          <w:rFonts w:hint="eastAsia" w:ascii="Times New Roman" w:hAnsi="Times New Roman" w:eastAsia="仿宋_GB2312" w:cs="Times New Roman"/>
          <w:color w:val="auto"/>
          <w:kern w:val="0"/>
          <w:sz w:val="32"/>
          <w:szCs w:val="32"/>
          <w:lang w:val="en-US" w:eastAsia="zh-CN"/>
        </w:rPr>
        <w:t>-</w:t>
      </w:r>
      <w:r>
        <w:rPr>
          <w:rFonts w:hint="default" w:ascii="Times New Roman" w:hAnsi="Times New Roman" w:eastAsia="仿宋_GB2312" w:cs="Times New Roman"/>
          <w:color w:val="auto"/>
          <w:kern w:val="0"/>
          <w:sz w:val="32"/>
          <w:szCs w:val="32"/>
          <w:lang w:val="en-US" w:eastAsia="zh-CN"/>
        </w:rPr>
        <w:t>Private</w:t>
      </w:r>
      <w:r>
        <w:rPr>
          <w:rFonts w:hint="eastAsia" w:ascii="Times New Roman" w:hAnsi="Times New Roman" w:eastAsia="仿宋_GB2312" w:cs="Times New Roman"/>
          <w:color w:val="auto"/>
          <w:kern w:val="0"/>
          <w:sz w:val="32"/>
          <w:szCs w:val="32"/>
          <w:lang w:val="en-US" w:eastAsia="zh-CN"/>
        </w:rPr>
        <w:t>-</w:t>
      </w:r>
      <w:r>
        <w:rPr>
          <w:rFonts w:hint="default" w:ascii="Times New Roman" w:hAnsi="Times New Roman" w:eastAsia="仿宋_GB2312" w:cs="Times New Roman"/>
          <w:color w:val="auto"/>
          <w:kern w:val="0"/>
          <w:sz w:val="32"/>
          <w:szCs w:val="32"/>
          <w:lang w:val="en-US" w:eastAsia="zh-CN"/>
        </w:rPr>
        <w:t>Partnership</w:t>
      </w:r>
      <w:r>
        <w:rPr>
          <w:rFonts w:hint="eastAsia" w:ascii="仿宋_GB2312" w:hAnsi="仿宋_GB2312" w:eastAsia="仿宋_GB2312" w:cs="仿宋_GB2312"/>
          <w:color w:val="auto"/>
          <w:kern w:val="0"/>
          <w:sz w:val="32"/>
          <w:szCs w:val="32"/>
          <w:lang w:val="en-US" w:eastAsia="zh-CN"/>
        </w:rPr>
        <w:t>的字母缩写，指政府和社会资本在基础设施建设及公共服务领域建立的一种长期合作关系。通常模式是由社会资本承担设计、建设、运营、维护基础设施的大部分工作，并通过“使用者付费”及必要的“政府付费”获得合理回报；政府部门负责基础设施及公共服务价格和质量监管，以保证公共利益最大化。</w:t>
      </w:r>
    </w:p>
    <w:p w14:paraId="226D518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15.零基预算改革。</w:t>
      </w:r>
      <w:r>
        <w:rPr>
          <w:rFonts w:hint="eastAsia" w:ascii="仿宋_GB2312" w:hAnsi="仿宋_GB2312" w:eastAsia="仿宋_GB2312" w:cs="仿宋_GB2312"/>
          <w:color w:val="auto"/>
          <w:kern w:val="0"/>
          <w:sz w:val="32"/>
          <w:szCs w:val="32"/>
          <w:lang w:val="en-US" w:eastAsia="zh-CN"/>
        </w:rPr>
        <w:t>指从“零”开始编制预算，在预算编制时不考虑以往预算安排基数，根据实际需求、财力状况、事项轻重缓急等统筹核定支出预算。</w:t>
      </w:r>
    </w:p>
    <w:p w14:paraId="75FCF90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16.转移支付。</w:t>
      </w:r>
      <w:r>
        <w:rPr>
          <w:rFonts w:hint="eastAsia" w:ascii="仿宋_GB2312" w:hAnsi="仿宋_GB2312" w:eastAsia="仿宋_GB2312" w:cs="仿宋_GB2312"/>
          <w:color w:val="auto"/>
          <w:kern w:val="0"/>
          <w:sz w:val="32"/>
          <w:szCs w:val="32"/>
          <w:lang w:val="en-US" w:eastAsia="zh-CN"/>
        </w:rPr>
        <w:t>以各级政府之间所存在的财政能力差异为基础，以实现各地公共服务水平的均等化为主旨，而实行的一种财政资金转移或财政平衡制度。</w:t>
      </w:r>
    </w:p>
    <w:p w14:paraId="38A72F5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17.一般性转移支付。</w:t>
      </w:r>
      <w:r>
        <w:rPr>
          <w:rFonts w:hint="eastAsia" w:ascii="仿宋_GB2312" w:hAnsi="仿宋_GB2312" w:eastAsia="仿宋_GB2312" w:cs="仿宋_GB2312"/>
          <w:color w:val="auto"/>
          <w:kern w:val="0"/>
          <w:sz w:val="32"/>
          <w:szCs w:val="32"/>
          <w:lang w:val="en-US" w:eastAsia="zh-CN"/>
        </w:rPr>
        <w:t>指上级政府给予地方政府的财力补助，用于均衡地区间财力差距，包括纯财力补助和中央地方基本公共服务领域共同财政事权转移支付，地方政府可以按照相关规定统筹安排和使用。</w:t>
      </w:r>
    </w:p>
    <w:p w14:paraId="00E7F88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18.专项转移支付。</w:t>
      </w:r>
      <w:r>
        <w:rPr>
          <w:rFonts w:hint="eastAsia" w:ascii="仿宋_GB2312" w:hAnsi="仿宋_GB2312" w:eastAsia="仿宋_GB2312" w:cs="仿宋_GB2312"/>
          <w:color w:val="auto"/>
          <w:kern w:val="0"/>
          <w:sz w:val="32"/>
          <w:szCs w:val="32"/>
          <w:lang w:val="en-US" w:eastAsia="zh-CN"/>
        </w:rPr>
        <w:t>指上级政府为实现特定的经济和社会发展目标无偿给予地方政府，由接受转移支付的政府按照上级政府规定的用途安排使用的预算资金。</w:t>
      </w:r>
    </w:p>
    <w:p w14:paraId="2A17214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楷体_GB2312" w:hAnsi="楷体_GB2312" w:eastAsia="楷体_GB2312" w:cs="楷体_GB2312"/>
          <w:color w:val="auto"/>
          <w:kern w:val="0"/>
          <w:sz w:val="32"/>
          <w:szCs w:val="32"/>
          <w:lang w:val="en-US" w:eastAsia="zh-CN"/>
        </w:rPr>
        <w:t>19.政府债务。</w:t>
      </w:r>
      <w:r>
        <w:rPr>
          <w:rFonts w:hint="eastAsia" w:ascii="仿宋_GB2312" w:hAnsi="仿宋_GB2312" w:eastAsia="仿宋_GB2312" w:cs="仿宋_GB2312"/>
          <w:color w:val="auto"/>
          <w:kern w:val="0"/>
          <w:sz w:val="32"/>
          <w:szCs w:val="32"/>
          <w:lang w:val="en-US" w:eastAsia="zh-CN"/>
        </w:rPr>
        <w:t>指按预算法规定通过省政府代为发行的地方政府债券，以及2014年底清理甄别锁定的存量政府债务。政府债务分为一般债务和专项债务。一般债务指政府为没有收益的公益性事业发展举借的债务；专项债务指政府为有一定收益的公益性事业发展举借的债务。</w:t>
      </w:r>
      <w:r>
        <w:rPr>
          <w:rFonts w:hint="eastAsia" w:ascii="仿宋_GB2312" w:hAnsi="仿宋_GB2312" w:eastAsia="仿宋_GB2312" w:cs="仿宋_GB2312"/>
          <w:color w:val="auto"/>
          <w:kern w:val="0"/>
          <w:sz w:val="32"/>
          <w:szCs w:val="32"/>
          <w:lang w:val="en-US" w:eastAsia="zh-CN"/>
        </w:rPr>
        <w:tab/>
      </w:r>
    </w:p>
    <w:p w14:paraId="61C8E5AC">
      <w:pPr>
        <w:rPr>
          <w:rFonts w:hint="eastAsia"/>
        </w:rPr>
      </w:pPr>
    </w:p>
    <w:p w14:paraId="0942B3C8">
      <w:pPr>
        <w:rPr>
          <w:rFonts w:hint="eastAsia" w:ascii="黑体" w:hAnsi="黑体" w:eastAsia="黑体" w:cs="黑体"/>
          <w:sz w:val="32"/>
          <w:szCs w:val="32"/>
        </w:rPr>
      </w:pPr>
      <w:r>
        <w:rPr>
          <w:rFonts w:hint="eastAsia" w:ascii="黑体" w:hAnsi="黑体" w:eastAsia="黑体" w:cs="黑体"/>
          <w:sz w:val="32"/>
          <w:szCs w:val="32"/>
        </w:rPr>
        <w:br w:type="page"/>
      </w:r>
    </w:p>
    <w:p w14:paraId="379E83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2-01</w:t>
      </w:r>
    </w:p>
    <w:p w14:paraId="4CC9EE0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秭归县</w:t>
      </w:r>
      <w:r>
        <w:rPr>
          <w:rFonts w:hint="eastAsia" w:ascii="方正小标宋简体" w:hAnsi="方正小标宋简体" w:eastAsia="方正小标宋简体" w:cs="方正小标宋简体"/>
          <w:sz w:val="44"/>
          <w:szCs w:val="44"/>
          <w:lang w:val="en-US" w:eastAsia="zh-CN"/>
        </w:rPr>
        <w:t>2024</w:t>
      </w:r>
      <w:r>
        <w:rPr>
          <w:rFonts w:hint="eastAsia" w:ascii="方正小标宋简体" w:hAnsi="方正小标宋简体" w:eastAsia="方正小标宋简体" w:cs="方正小标宋简体"/>
          <w:sz w:val="44"/>
          <w:szCs w:val="44"/>
        </w:rPr>
        <w:t>年一般公共预算决算表</w:t>
      </w:r>
    </w:p>
    <w:p w14:paraId="0AA1F6A0">
      <w:pPr>
        <w:jc w:val="right"/>
      </w:pPr>
      <w:r>
        <w:rPr>
          <w:rFonts w:hint="eastAsia"/>
        </w:rPr>
        <w:t xml:space="preserve">                                                          </w:t>
      </w:r>
      <w:r>
        <w:rPr>
          <w:rFonts w:hint="eastAsia"/>
          <w:sz w:val="24"/>
          <w:szCs w:val="24"/>
          <w:lang w:val="en-US" w:eastAsia="zh-CN"/>
        </w:rPr>
        <w:t xml:space="preserve"> </w:t>
      </w:r>
      <w:r>
        <w:rPr>
          <w:rFonts w:hint="eastAsia"/>
          <w:sz w:val="24"/>
          <w:szCs w:val="24"/>
        </w:rPr>
        <w:t>单位：万元</w:t>
      </w:r>
    </w:p>
    <w:tbl>
      <w:tblPr>
        <w:tblStyle w:val="8"/>
        <w:tblW w:w="10026" w:type="dxa"/>
        <w:jc w:val="center"/>
        <w:tblLayout w:type="fixed"/>
        <w:tblCellMar>
          <w:top w:w="0" w:type="dxa"/>
          <w:left w:w="108" w:type="dxa"/>
          <w:bottom w:w="0" w:type="dxa"/>
          <w:right w:w="108" w:type="dxa"/>
        </w:tblCellMar>
      </w:tblPr>
      <w:tblGrid>
        <w:gridCol w:w="2355"/>
        <w:gridCol w:w="756"/>
        <w:gridCol w:w="761"/>
        <w:gridCol w:w="915"/>
        <w:gridCol w:w="2698"/>
        <w:gridCol w:w="795"/>
        <w:gridCol w:w="825"/>
        <w:gridCol w:w="921"/>
      </w:tblGrid>
      <w:tr w14:paraId="63017A2F">
        <w:tblPrEx>
          <w:tblCellMar>
            <w:top w:w="0" w:type="dxa"/>
            <w:left w:w="108" w:type="dxa"/>
            <w:bottom w:w="0" w:type="dxa"/>
            <w:right w:w="108" w:type="dxa"/>
          </w:tblCellMar>
        </w:tblPrEx>
        <w:trPr>
          <w:trHeight w:val="315" w:hRule="atLeast"/>
          <w:jc w:val="center"/>
        </w:trPr>
        <w:tc>
          <w:tcPr>
            <w:tcW w:w="4787" w:type="dxa"/>
            <w:gridSpan w:val="4"/>
            <w:tcBorders>
              <w:top w:val="single" w:color="auto" w:sz="4" w:space="0"/>
              <w:left w:val="single" w:color="auto" w:sz="4" w:space="0"/>
              <w:bottom w:val="single" w:color="auto" w:sz="4" w:space="0"/>
              <w:right w:val="single" w:color="auto" w:sz="4" w:space="0"/>
            </w:tcBorders>
            <w:noWrap/>
            <w:vAlign w:val="center"/>
          </w:tcPr>
          <w:p w14:paraId="68EA0B07">
            <w:pPr>
              <w:widowControl/>
              <w:spacing w:line="300" w:lineRule="exact"/>
              <w:jc w:val="center"/>
              <w:rPr>
                <w:rFonts w:ascii="Times New Roman" w:hAnsi="Times New Roman" w:cs="宋体"/>
                <w:b/>
                <w:bCs/>
                <w:color w:val="auto"/>
                <w:kern w:val="0"/>
                <w:sz w:val="24"/>
              </w:rPr>
            </w:pPr>
            <w:r>
              <w:rPr>
                <w:rFonts w:hint="eastAsia" w:ascii="Times New Roman" w:hAnsi="Times New Roman" w:cs="宋体"/>
                <w:b/>
                <w:bCs/>
                <w:color w:val="auto"/>
                <w:kern w:val="0"/>
                <w:sz w:val="24"/>
              </w:rPr>
              <w:t>收    入</w:t>
            </w:r>
          </w:p>
        </w:tc>
        <w:tc>
          <w:tcPr>
            <w:tcW w:w="5239" w:type="dxa"/>
            <w:gridSpan w:val="4"/>
            <w:tcBorders>
              <w:top w:val="single" w:color="auto" w:sz="4" w:space="0"/>
              <w:left w:val="nil"/>
              <w:bottom w:val="single" w:color="auto" w:sz="4" w:space="0"/>
              <w:right w:val="single" w:color="auto" w:sz="4" w:space="0"/>
            </w:tcBorders>
            <w:noWrap/>
            <w:vAlign w:val="center"/>
          </w:tcPr>
          <w:p w14:paraId="60E0927B">
            <w:pPr>
              <w:widowControl/>
              <w:spacing w:line="300" w:lineRule="exact"/>
              <w:jc w:val="center"/>
              <w:rPr>
                <w:rFonts w:ascii="Times New Roman" w:hAnsi="Times New Roman" w:cs="宋体"/>
                <w:b/>
                <w:bCs/>
                <w:color w:val="auto"/>
                <w:kern w:val="0"/>
                <w:sz w:val="24"/>
              </w:rPr>
            </w:pPr>
            <w:r>
              <w:rPr>
                <w:rFonts w:hint="eastAsia" w:ascii="Times New Roman" w:hAnsi="Times New Roman" w:cs="宋体"/>
                <w:b/>
                <w:bCs/>
                <w:color w:val="auto"/>
                <w:kern w:val="0"/>
                <w:sz w:val="24"/>
              </w:rPr>
              <w:t>支      出</w:t>
            </w:r>
          </w:p>
        </w:tc>
      </w:tr>
      <w:tr w14:paraId="2B64920A">
        <w:tblPrEx>
          <w:tblCellMar>
            <w:top w:w="0" w:type="dxa"/>
            <w:left w:w="108" w:type="dxa"/>
            <w:bottom w:w="0" w:type="dxa"/>
            <w:right w:w="108" w:type="dxa"/>
          </w:tblCellMar>
        </w:tblPrEx>
        <w:trPr>
          <w:trHeight w:val="534" w:hRule="atLeast"/>
          <w:jc w:val="center"/>
        </w:trPr>
        <w:tc>
          <w:tcPr>
            <w:tcW w:w="2355" w:type="dxa"/>
            <w:tcBorders>
              <w:top w:val="nil"/>
              <w:left w:val="single" w:color="auto" w:sz="4" w:space="0"/>
              <w:bottom w:val="single" w:color="auto" w:sz="4" w:space="0"/>
              <w:right w:val="single" w:color="auto" w:sz="4" w:space="0"/>
            </w:tcBorders>
            <w:noWrap w:val="0"/>
            <w:vAlign w:val="center"/>
          </w:tcPr>
          <w:p w14:paraId="54500641">
            <w:pPr>
              <w:widowControl/>
              <w:spacing w:line="300" w:lineRule="exact"/>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 xml:space="preserve">项  </w:t>
            </w:r>
            <w:r>
              <w:rPr>
                <w:rFonts w:ascii="Times New Roman" w:hAnsi="Times New Roman" w:cs="宋体"/>
                <w:color w:val="auto"/>
                <w:kern w:val="0"/>
                <w:sz w:val="18"/>
                <w:szCs w:val="18"/>
              </w:rPr>
              <w:t xml:space="preserve"> </w:t>
            </w:r>
            <w:r>
              <w:rPr>
                <w:rFonts w:hint="eastAsia" w:ascii="Times New Roman" w:hAnsi="Times New Roman" w:cs="宋体"/>
                <w:color w:val="auto"/>
                <w:kern w:val="0"/>
                <w:sz w:val="18"/>
                <w:szCs w:val="18"/>
              </w:rPr>
              <w:t xml:space="preserve"> 目</w:t>
            </w:r>
          </w:p>
        </w:tc>
        <w:tc>
          <w:tcPr>
            <w:tcW w:w="756" w:type="dxa"/>
            <w:tcBorders>
              <w:top w:val="nil"/>
              <w:left w:val="nil"/>
              <w:bottom w:val="single" w:color="auto" w:sz="4" w:space="0"/>
              <w:right w:val="single" w:color="auto" w:sz="4" w:space="0"/>
            </w:tcBorders>
            <w:noWrap w:val="0"/>
            <w:vAlign w:val="center"/>
          </w:tcPr>
          <w:p w14:paraId="094A0540">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lang w:eastAsia="zh-CN"/>
              </w:rPr>
              <w:t>执行数</w:t>
            </w:r>
          </w:p>
        </w:tc>
        <w:tc>
          <w:tcPr>
            <w:tcW w:w="761" w:type="dxa"/>
            <w:tcBorders>
              <w:top w:val="nil"/>
              <w:left w:val="nil"/>
              <w:bottom w:val="single" w:color="auto" w:sz="4" w:space="0"/>
              <w:right w:val="single" w:color="auto" w:sz="4" w:space="0"/>
            </w:tcBorders>
            <w:noWrap w:val="0"/>
            <w:vAlign w:val="center"/>
          </w:tcPr>
          <w:p w14:paraId="706E493B">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决算数</w:t>
            </w:r>
          </w:p>
        </w:tc>
        <w:tc>
          <w:tcPr>
            <w:tcW w:w="915" w:type="dxa"/>
            <w:tcBorders>
              <w:top w:val="nil"/>
              <w:left w:val="nil"/>
              <w:bottom w:val="single" w:color="auto" w:sz="4" w:space="0"/>
              <w:right w:val="single" w:color="auto" w:sz="4" w:space="0"/>
            </w:tcBorders>
            <w:noWrap w:val="0"/>
            <w:vAlign w:val="center"/>
          </w:tcPr>
          <w:p w14:paraId="71738EF1">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占</w:t>
            </w:r>
            <w:r>
              <w:rPr>
                <w:rFonts w:hint="eastAsia" w:ascii="Times New Roman" w:hAnsi="Times New Roman" w:cs="宋体"/>
                <w:color w:val="auto"/>
                <w:kern w:val="0"/>
                <w:sz w:val="18"/>
                <w:szCs w:val="18"/>
                <w:lang w:eastAsia="zh-CN"/>
              </w:rPr>
              <w:t>执行数</w:t>
            </w:r>
            <w:r>
              <w:rPr>
                <w:rFonts w:hint="eastAsia" w:ascii="Times New Roman" w:hAnsi="Times New Roman" w:cs="宋体"/>
                <w:color w:val="auto"/>
                <w:kern w:val="0"/>
                <w:sz w:val="18"/>
                <w:szCs w:val="18"/>
              </w:rPr>
              <w:t>%</w:t>
            </w:r>
          </w:p>
        </w:tc>
        <w:tc>
          <w:tcPr>
            <w:tcW w:w="2698" w:type="dxa"/>
            <w:tcBorders>
              <w:top w:val="nil"/>
              <w:left w:val="nil"/>
              <w:bottom w:val="single" w:color="auto" w:sz="4" w:space="0"/>
              <w:right w:val="single" w:color="auto" w:sz="4" w:space="0"/>
            </w:tcBorders>
            <w:noWrap w:val="0"/>
            <w:vAlign w:val="center"/>
          </w:tcPr>
          <w:p w14:paraId="27C89F78">
            <w:pPr>
              <w:widowControl/>
              <w:spacing w:line="300" w:lineRule="exact"/>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 xml:space="preserve">项 </w:t>
            </w:r>
            <w:r>
              <w:rPr>
                <w:rFonts w:ascii="Times New Roman" w:hAnsi="Times New Roman" w:cs="宋体"/>
                <w:color w:val="auto"/>
                <w:kern w:val="0"/>
                <w:sz w:val="18"/>
                <w:szCs w:val="18"/>
              </w:rPr>
              <w:t xml:space="preserve">  </w:t>
            </w:r>
            <w:r>
              <w:rPr>
                <w:rFonts w:hint="eastAsia" w:ascii="Times New Roman" w:hAnsi="Times New Roman" w:cs="宋体"/>
                <w:color w:val="auto"/>
                <w:kern w:val="0"/>
                <w:sz w:val="18"/>
                <w:szCs w:val="18"/>
              </w:rPr>
              <w:t xml:space="preserve"> 目</w:t>
            </w:r>
          </w:p>
        </w:tc>
        <w:tc>
          <w:tcPr>
            <w:tcW w:w="795" w:type="dxa"/>
            <w:tcBorders>
              <w:top w:val="nil"/>
              <w:left w:val="nil"/>
              <w:bottom w:val="single" w:color="auto" w:sz="4" w:space="0"/>
              <w:right w:val="single" w:color="auto" w:sz="4" w:space="0"/>
            </w:tcBorders>
            <w:noWrap w:val="0"/>
            <w:vAlign w:val="center"/>
          </w:tcPr>
          <w:p w14:paraId="1A336F7C">
            <w:pPr>
              <w:widowControl/>
              <w:jc w:val="center"/>
              <w:rPr>
                <w:rFonts w:hint="eastAsia" w:ascii="Times New Roman" w:hAnsi="Times New Roman" w:eastAsia="宋体" w:cs="宋体"/>
                <w:color w:val="auto"/>
                <w:kern w:val="0"/>
                <w:sz w:val="18"/>
                <w:szCs w:val="18"/>
                <w:lang w:eastAsia="zh-CN"/>
              </w:rPr>
            </w:pPr>
            <w:r>
              <w:rPr>
                <w:rFonts w:hint="eastAsia" w:ascii="Times New Roman" w:hAnsi="Times New Roman" w:cs="宋体"/>
                <w:color w:val="auto"/>
                <w:kern w:val="0"/>
                <w:sz w:val="18"/>
                <w:szCs w:val="18"/>
                <w:lang w:eastAsia="zh-CN"/>
              </w:rPr>
              <w:t>执行数</w:t>
            </w:r>
          </w:p>
        </w:tc>
        <w:tc>
          <w:tcPr>
            <w:tcW w:w="825" w:type="dxa"/>
            <w:tcBorders>
              <w:top w:val="nil"/>
              <w:left w:val="nil"/>
              <w:bottom w:val="single" w:color="auto" w:sz="4" w:space="0"/>
              <w:right w:val="single" w:color="auto" w:sz="4" w:space="0"/>
            </w:tcBorders>
            <w:noWrap w:val="0"/>
            <w:vAlign w:val="center"/>
          </w:tcPr>
          <w:p w14:paraId="47B856D4">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决算数</w:t>
            </w:r>
          </w:p>
        </w:tc>
        <w:tc>
          <w:tcPr>
            <w:tcW w:w="921" w:type="dxa"/>
            <w:tcBorders>
              <w:top w:val="nil"/>
              <w:left w:val="nil"/>
              <w:bottom w:val="single" w:color="auto" w:sz="4" w:space="0"/>
              <w:right w:val="single" w:color="auto" w:sz="4" w:space="0"/>
            </w:tcBorders>
            <w:noWrap w:val="0"/>
            <w:vAlign w:val="center"/>
          </w:tcPr>
          <w:p w14:paraId="1399DAF9">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占</w:t>
            </w:r>
            <w:r>
              <w:rPr>
                <w:rFonts w:hint="eastAsia" w:ascii="Times New Roman" w:hAnsi="Times New Roman" w:cs="宋体"/>
                <w:color w:val="auto"/>
                <w:kern w:val="0"/>
                <w:sz w:val="18"/>
                <w:szCs w:val="18"/>
                <w:lang w:eastAsia="zh-CN"/>
              </w:rPr>
              <w:t>执行数</w:t>
            </w:r>
            <w:r>
              <w:rPr>
                <w:rFonts w:hint="eastAsia" w:ascii="Times New Roman" w:hAnsi="Times New Roman" w:cs="宋体"/>
                <w:color w:val="auto"/>
                <w:kern w:val="0"/>
                <w:sz w:val="18"/>
                <w:szCs w:val="18"/>
              </w:rPr>
              <w:t>%</w:t>
            </w:r>
          </w:p>
        </w:tc>
      </w:tr>
      <w:tr w14:paraId="0DB4A16F">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79D8D09A">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一、地方一般公共预算收入</w:t>
            </w:r>
          </w:p>
        </w:tc>
        <w:tc>
          <w:tcPr>
            <w:tcW w:w="756" w:type="dxa"/>
            <w:tcBorders>
              <w:top w:val="nil"/>
              <w:left w:val="nil"/>
              <w:bottom w:val="single" w:color="auto" w:sz="4" w:space="0"/>
              <w:right w:val="single" w:color="auto" w:sz="4" w:space="0"/>
            </w:tcBorders>
            <w:noWrap/>
            <w:vAlign w:val="center"/>
          </w:tcPr>
          <w:p w14:paraId="39B8133A">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85175</w:t>
            </w:r>
          </w:p>
        </w:tc>
        <w:tc>
          <w:tcPr>
            <w:tcW w:w="761" w:type="dxa"/>
            <w:tcBorders>
              <w:top w:val="nil"/>
              <w:left w:val="nil"/>
              <w:bottom w:val="single" w:color="auto" w:sz="4" w:space="0"/>
              <w:right w:val="single" w:color="auto" w:sz="4" w:space="0"/>
            </w:tcBorders>
            <w:noWrap/>
            <w:vAlign w:val="center"/>
          </w:tcPr>
          <w:p w14:paraId="5663EFEC">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85175</w:t>
            </w:r>
          </w:p>
        </w:tc>
        <w:tc>
          <w:tcPr>
            <w:tcW w:w="915" w:type="dxa"/>
            <w:tcBorders>
              <w:top w:val="nil"/>
              <w:left w:val="nil"/>
              <w:bottom w:val="single" w:color="auto" w:sz="4" w:space="0"/>
              <w:right w:val="single" w:color="auto" w:sz="4" w:space="0"/>
            </w:tcBorders>
            <w:noWrap/>
            <w:vAlign w:val="center"/>
          </w:tcPr>
          <w:p w14:paraId="647896F2">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c>
          <w:tcPr>
            <w:tcW w:w="2698" w:type="dxa"/>
            <w:tcBorders>
              <w:top w:val="nil"/>
              <w:left w:val="nil"/>
              <w:bottom w:val="single" w:color="auto" w:sz="4" w:space="0"/>
              <w:right w:val="single" w:color="auto" w:sz="4" w:space="0"/>
            </w:tcBorders>
            <w:noWrap/>
            <w:vAlign w:val="center"/>
          </w:tcPr>
          <w:p w14:paraId="333D3212">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一、地方一般公共预算支出</w:t>
            </w:r>
          </w:p>
        </w:tc>
        <w:tc>
          <w:tcPr>
            <w:tcW w:w="795" w:type="dxa"/>
            <w:tcBorders>
              <w:top w:val="nil"/>
              <w:left w:val="nil"/>
              <w:bottom w:val="single" w:color="auto" w:sz="4" w:space="0"/>
              <w:right w:val="single" w:color="auto" w:sz="4" w:space="0"/>
            </w:tcBorders>
            <w:noWrap/>
            <w:vAlign w:val="center"/>
          </w:tcPr>
          <w:p w14:paraId="779C18E7">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424233</w:t>
            </w:r>
          </w:p>
        </w:tc>
        <w:tc>
          <w:tcPr>
            <w:tcW w:w="825" w:type="dxa"/>
            <w:tcBorders>
              <w:top w:val="nil"/>
              <w:left w:val="nil"/>
              <w:bottom w:val="single" w:color="auto" w:sz="4" w:space="0"/>
              <w:right w:val="single" w:color="auto" w:sz="4" w:space="0"/>
            </w:tcBorders>
            <w:noWrap/>
            <w:vAlign w:val="center"/>
          </w:tcPr>
          <w:p w14:paraId="0FA429E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424246</w:t>
            </w:r>
          </w:p>
        </w:tc>
        <w:tc>
          <w:tcPr>
            <w:tcW w:w="921" w:type="dxa"/>
            <w:tcBorders>
              <w:top w:val="nil"/>
              <w:left w:val="nil"/>
              <w:bottom w:val="single" w:color="auto" w:sz="4" w:space="0"/>
              <w:right w:val="single" w:color="auto" w:sz="4" w:space="0"/>
            </w:tcBorders>
            <w:noWrap/>
            <w:vAlign w:val="center"/>
          </w:tcPr>
          <w:p w14:paraId="19B4B501">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4AECD288">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570BDBF2">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（一）税收收入</w:t>
            </w:r>
          </w:p>
        </w:tc>
        <w:tc>
          <w:tcPr>
            <w:tcW w:w="756" w:type="dxa"/>
            <w:tcBorders>
              <w:top w:val="nil"/>
              <w:left w:val="nil"/>
              <w:bottom w:val="single" w:color="auto" w:sz="4" w:space="0"/>
              <w:right w:val="single" w:color="auto" w:sz="4" w:space="0"/>
            </w:tcBorders>
            <w:noWrap/>
            <w:vAlign w:val="center"/>
          </w:tcPr>
          <w:p w14:paraId="2456F555">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50189</w:t>
            </w:r>
          </w:p>
        </w:tc>
        <w:tc>
          <w:tcPr>
            <w:tcW w:w="761" w:type="dxa"/>
            <w:tcBorders>
              <w:top w:val="nil"/>
              <w:left w:val="nil"/>
              <w:bottom w:val="single" w:color="auto" w:sz="4" w:space="0"/>
              <w:right w:val="single" w:color="auto" w:sz="4" w:space="0"/>
            </w:tcBorders>
            <w:noWrap/>
            <w:vAlign w:val="center"/>
          </w:tcPr>
          <w:p w14:paraId="52C4B20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50190</w:t>
            </w:r>
          </w:p>
        </w:tc>
        <w:tc>
          <w:tcPr>
            <w:tcW w:w="915" w:type="dxa"/>
            <w:tcBorders>
              <w:top w:val="nil"/>
              <w:left w:val="nil"/>
              <w:bottom w:val="single" w:color="auto" w:sz="4" w:space="0"/>
              <w:right w:val="single" w:color="auto" w:sz="4" w:space="0"/>
            </w:tcBorders>
            <w:noWrap/>
            <w:vAlign w:val="center"/>
          </w:tcPr>
          <w:p w14:paraId="3CA648CC">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c>
          <w:tcPr>
            <w:tcW w:w="2698" w:type="dxa"/>
            <w:tcBorders>
              <w:top w:val="nil"/>
              <w:left w:val="nil"/>
              <w:bottom w:val="single" w:color="auto" w:sz="4" w:space="0"/>
              <w:right w:val="single" w:color="auto" w:sz="4" w:space="0"/>
            </w:tcBorders>
            <w:noWrap/>
            <w:vAlign w:val="center"/>
          </w:tcPr>
          <w:p w14:paraId="4BFE918E">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201.一般公共服务支出</w:t>
            </w:r>
          </w:p>
        </w:tc>
        <w:tc>
          <w:tcPr>
            <w:tcW w:w="795" w:type="dxa"/>
            <w:tcBorders>
              <w:top w:val="nil"/>
              <w:left w:val="nil"/>
              <w:bottom w:val="single" w:color="auto" w:sz="4" w:space="0"/>
              <w:right w:val="single" w:color="auto" w:sz="4" w:space="0"/>
            </w:tcBorders>
            <w:noWrap/>
            <w:vAlign w:val="center"/>
          </w:tcPr>
          <w:p w14:paraId="0A0CD4A5">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44553</w:t>
            </w:r>
          </w:p>
        </w:tc>
        <w:tc>
          <w:tcPr>
            <w:tcW w:w="825" w:type="dxa"/>
            <w:tcBorders>
              <w:top w:val="nil"/>
              <w:left w:val="nil"/>
              <w:bottom w:val="single" w:color="auto" w:sz="4" w:space="0"/>
              <w:right w:val="single" w:color="auto" w:sz="4" w:space="0"/>
            </w:tcBorders>
            <w:noWrap/>
            <w:vAlign w:val="center"/>
          </w:tcPr>
          <w:p w14:paraId="1DFD245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44554</w:t>
            </w:r>
          </w:p>
        </w:tc>
        <w:tc>
          <w:tcPr>
            <w:tcW w:w="921" w:type="dxa"/>
            <w:tcBorders>
              <w:top w:val="nil"/>
              <w:left w:val="nil"/>
              <w:bottom w:val="single" w:color="auto" w:sz="4" w:space="0"/>
              <w:right w:val="single" w:color="auto" w:sz="4" w:space="0"/>
            </w:tcBorders>
            <w:noWrap/>
            <w:vAlign w:val="center"/>
          </w:tcPr>
          <w:p w14:paraId="54E258A3">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7DB0EB1C">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43D5B8C9">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（二）非税收入</w:t>
            </w:r>
          </w:p>
        </w:tc>
        <w:tc>
          <w:tcPr>
            <w:tcW w:w="756" w:type="dxa"/>
            <w:tcBorders>
              <w:top w:val="nil"/>
              <w:left w:val="nil"/>
              <w:bottom w:val="single" w:color="auto" w:sz="4" w:space="0"/>
              <w:right w:val="single" w:color="auto" w:sz="4" w:space="0"/>
            </w:tcBorders>
            <w:noWrap/>
            <w:vAlign w:val="center"/>
          </w:tcPr>
          <w:p w14:paraId="09B8F09D">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34986</w:t>
            </w:r>
          </w:p>
        </w:tc>
        <w:tc>
          <w:tcPr>
            <w:tcW w:w="761" w:type="dxa"/>
            <w:tcBorders>
              <w:top w:val="nil"/>
              <w:left w:val="nil"/>
              <w:bottom w:val="single" w:color="auto" w:sz="4" w:space="0"/>
              <w:right w:val="single" w:color="auto" w:sz="4" w:space="0"/>
            </w:tcBorders>
            <w:noWrap/>
            <w:vAlign w:val="center"/>
          </w:tcPr>
          <w:p w14:paraId="41EF37CA">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34985</w:t>
            </w:r>
          </w:p>
        </w:tc>
        <w:tc>
          <w:tcPr>
            <w:tcW w:w="915" w:type="dxa"/>
            <w:tcBorders>
              <w:top w:val="nil"/>
              <w:left w:val="nil"/>
              <w:bottom w:val="single" w:color="auto" w:sz="4" w:space="0"/>
              <w:right w:val="single" w:color="auto" w:sz="4" w:space="0"/>
            </w:tcBorders>
            <w:noWrap/>
            <w:vAlign w:val="center"/>
          </w:tcPr>
          <w:p w14:paraId="07D08E84">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c>
          <w:tcPr>
            <w:tcW w:w="2698" w:type="dxa"/>
            <w:tcBorders>
              <w:top w:val="nil"/>
              <w:left w:val="nil"/>
              <w:bottom w:val="single" w:color="auto" w:sz="4" w:space="0"/>
              <w:right w:val="single" w:color="auto" w:sz="4" w:space="0"/>
            </w:tcBorders>
            <w:noWrap/>
            <w:vAlign w:val="center"/>
          </w:tcPr>
          <w:p w14:paraId="0B4C8277">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204.公共安全支出</w:t>
            </w:r>
          </w:p>
        </w:tc>
        <w:tc>
          <w:tcPr>
            <w:tcW w:w="795" w:type="dxa"/>
            <w:tcBorders>
              <w:top w:val="nil"/>
              <w:left w:val="nil"/>
              <w:bottom w:val="single" w:color="auto" w:sz="4" w:space="0"/>
              <w:right w:val="single" w:color="auto" w:sz="4" w:space="0"/>
            </w:tcBorders>
            <w:noWrap/>
            <w:vAlign w:val="center"/>
          </w:tcPr>
          <w:p w14:paraId="05323278">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12043</w:t>
            </w:r>
          </w:p>
        </w:tc>
        <w:tc>
          <w:tcPr>
            <w:tcW w:w="825" w:type="dxa"/>
            <w:tcBorders>
              <w:top w:val="nil"/>
              <w:left w:val="nil"/>
              <w:bottom w:val="single" w:color="auto" w:sz="4" w:space="0"/>
              <w:right w:val="single" w:color="auto" w:sz="4" w:space="0"/>
            </w:tcBorders>
            <w:noWrap/>
            <w:vAlign w:val="center"/>
          </w:tcPr>
          <w:p w14:paraId="2626E8F7">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12043</w:t>
            </w:r>
          </w:p>
        </w:tc>
        <w:tc>
          <w:tcPr>
            <w:tcW w:w="921" w:type="dxa"/>
            <w:tcBorders>
              <w:top w:val="nil"/>
              <w:left w:val="nil"/>
              <w:bottom w:val="single" w:color="auto" w:sz="4" w:space="0"/>
              <w:right w:val="single" w:color="auto" w:sz="4" w:space="0"/>
            </w:tcBorders>
            <w:noWrap/>
            <w:vAlign w:val="center"/>
          </w:tcPr>
          <w:p w14:paraId="13FEE52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7004924E">
        <w:tblPrEx>
          <w:tblCellMar>
            <w:top w:w="0" w:type="dxa"/>
            <w:left w:w="108" w:type="dxa"/>
            <w:bottom w:w="0" w:type="dxa"/>
            <w:right w:w="108" w:type="dxa"/>
          </w:tblCellMar>
        </w:tblPrEx>
        <w:trPr>
          <w:cantSplit/>
          <w:trHeight w:val="369" w:hRule="atLeast"/>
          <w:jc w:val="center"/>
        </w:trPr>
        <w:tc>
          <w:tcPr>
            <w:tcW w:w="2355" w:type="dxa"/>
            <w:tcBorders>
              <w:top w:val="single" w:color="auto" w:sz="4" w:space="0"/>
              <w:left w:val="single" w:color="auto" w:sz="4" w:space="0"/>
              <w:bottom w:val="single" w:color="auto" w:sz="4" w:space="0"/>
              <w:right w:val="single" w:color="auto" w:sz="4" w:space="0"/>
            </w:tcBorders>
            <w:noWrap/>
            <w:vAlign w:val="center"/>
          </w:tcPr>
          <w:p w14:paraId="74D5B384">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二、上级补助收入</w:t>
            </w:r>
          </w:p>
        </w:tc>
        <w:tc>
          <w:tcPr>
            <w:tcW w:w="756" w:type="dxa"/>
            <w:tcBorders>
              <w:top w:val="single" w:color="auto" w:sz="4" w:space="0"/>
              <w:left w:val="single" w:color="auto" w:sz="4" w:space="0"/>
              <w:bottom w:val="single" w:color="auto" w:sz="4" w:space="0"/>
              <w:right w:val="single" w:color="auto" w:sz="4" w:space="0"/>
            </w:tcBorders>
            <w:noWrap/>
            <w:vAlign w:val="center"/>
          </w:tcPr>
          <w:p w14:paraId="12E28095">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297819</w:t>
            </w:r>
          </w:p>
        </w:tc>
        <w:tc>
          <w:tcPr>
            <w:tcW w:w="761" w:type="dxa"/>
            <w:tcBorders>
              <w:top w:val="single" w:color="auto" w:sz="4" w:space="0"/>
              <w:left w:val="single" w:color="auto" w:sz="4" w:space="0"/>
              <w:bottom w:val="single" w:color="auto" w:sz="4" w:space="0"/>
              <w:right w:val="single" w:color="auto" w:sz="4" w:space="0"/>
            </w:tcBorders>
            <w:noWrap/>
            <w:vAlign w:val="center"/>
          </w:tcPr>
          <w:p w14:paraId="5FF87BE3">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285665</w:t>
            </w:r>
          </w:p>
        </w:tc>
        <w:tc>
          <w:tcPr>
            <w:tcW w:w="915" w:type="dxa"/>
            <w:tcBorders>
              <w:top w:val="single" w:color="auto" w:sz="4" w:space="0"/>
              <w:left w:val="single" w:color="auto" w:sz="4" w:space="0"/>
              <w:bottom w:val="single" w:color="auto" w:sz="4" w:space="0"/>
              <w:right w:val="single" w:color="auto" w:sz="4" w:space="0"/>
            </w:tcBorders>
            <w:noWrap/>
            <w:vAlign w:val="center"/>
          </w:tcPr>
          <w:p w14:paraId="736476FE">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95.92%</w:t>
            </w:r>
          </w:p>
        </w:tc>
        <w:tc>
          <w:tcPr>
            <w:tcW w:w="2698" w:type="dxa"/>
            <w:tcBorders>
              <w:top w:val="single" w:color="auto" w:sz="4" w:space="0"/>
              <w:left w:val="single" w:color="auto" w:sz="4" w:space="0"/>
              <w:bottom w:val="single" w:color="auto" w:sz="4" w:space="0"/>
              <w:right w:val="single" w:color="auto" w:sz="4" w:space="0"/>
            </w:tcBorders>
            <w:noWrap/>
            <w:vAlign w:val="center"/>
          </w:tcPr>
          <w:p w14:paraId="501BF019">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205.教育支出</w:t>
            </w:r>
          </w:p>
        </w:tc>
        <w:tc>
          <w:tcPr>
            <w:tcW w:w="795" w:type="dxa"/>
            <w:tcBorders>
              <w:top w:val="single" w:color="auto" w:sz="4" w:space="0"/>
              <w:left w:val="single" w:color="auto" w:sz="4" w:space="0"/>
              <w:bottom w:val="single" w:color="auto" w:sz="4" w:space="0"/>
              <w:right w:val="single" w:color="auto" w:sz="4" w:space="0"/>
            </w:tcBorders>
            <w:noWrap/>
            <w:vAlign w:val="center"/>
          </w:tcPr>
          <w:p w14:paraId="1D8A301B">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68792</w:t>
            </w:r>
          </w:p>
        </w:tc>
        <w:tc>
          <w:tcPr>
            <w:tcW w:w="825" w:type="dxa"/>
            <w:tcBorders>
              <w:top w:val="single" w:color="auto" w:sz="4" w:space="0"/>
              <w:left w:val="single" w:color="auto" w:sz="4" w:space="0"/>
              <w:bottom w:val="single" w:color="auto" w:sz="4" w:space="0"/>
              <w:right w:val="single" w:color="auto" w:sz="4" w:space="0"/>
            </w:tcBorders>
            <w:noWrap/>
            <w:vAlign w:val="center"/>
          </w:tcPr>
          <w:p w14:paraId="6FCD3599">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68792</w:t>
            </w:r>
          </w:p>
        </w:tc>
        <w:tc>
          <w:tcPr>
            <w:tcW w:w="921" w:type="dxa"/>
            <w:tcBorders>
              <w:top w:val="single" w:color="auto" w:sz="4" w:space="0"/>
              <w:left w:val="single" w:color="auto" w:sz="4" w:space="0"/>
              <w:bottom w:val="single" w:color="auto" w:sz="4" w:space="0"/>
              <w:right w:val="single" w:color="auto" w:sz="4" w:space="0"/>
            </w:tcBorders>
            <w:noWrap/>
            <w:vAlign w:val="center"/>
          </w:tcPr>
          <w:p w14:paraId="1A3C7565">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1B270D7F">
        <w:tblPrEx>
          <w:tblCellMar>
            <w:top w:w="0" w:type="dxa"/>
            <w:left w:w="108" w:type="dxa"/>
            <w:bottom w:w="0" w:type="dxa"/>
            <w:right w:w="108" w:type="dxa"/>
          </w:tblCellMar>
        </w:tblPrEx>
        <w:trPr>
          <w:cantSplit/>
          <w:trHeight w:val="369" w:hRule="atLeast"/>
          <w:jc w:val="center"/>
        </w:trPr>
        <w:tc>
          <w:tcPr>
            <w:tcW w:w="2355" w:type="dxa"/>
            <w:tcBorders>
              <w:top w:val="single" w:color="auto" w:sz="4" w:space="0"/>
              <w:left w:val="single" w:color="auto" w:sz="4" w:space="0"/>
              <w:bottom w:val="single" w:color="auto" w:sz="4" w:space="0"/>
              <w:right w:val="single" w:color="auto" w:sz="4" w:space="0"/>
            </w:tcBorders>
            <w:noWrap/>
            <w:vAlign w:val="center"/>
          </w:tcPr>
          <w:p w14:paraId="6A49F596">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（一）返还性收入</w:t>
            </w:r>
          </w:p>
        </w:tc>
        <w:tc>
          <w:tcPr>
            <w:tcW w:w="756" w:type="dxa"/>
            <w:tcBorders>
              <w:top w:val="single" w:color="auto" w:sz="4" w:space="0"/>
              <w:left w:val="nil"/>
              <w:bottom w:val="single" w:color="auto" w:sz="4" w:space="0"/>
              <w:right w:val="single" w:color="auto" w:sz="4" w:space="0"/>
            </w:tcBorders>
            <w:noWrap/>
            <w:vAlign w:val="center"/>
          </w:tcPr>
          <w:p w14:paraId="3EE23C63">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15471</w:t>
            </w:r>
          </w:p>
        </w:tc>
        <w:tc>
          <w:tcPr>
            <w:tcW w:w="761" w:type="dxa"/>
            <w:tcBorders>
              <w:top w:val="single" w:color="auto" w:sz="4" w:space="0"/>
              <w:left w:val="nil"/>
              <w:bottom w:val="single" w:color="auto" w:sz="4" w:space="0"/>
              <w:right w:val="single" w:color="auto" w:sz="4" w:space="0"/>
            </w:tcBorders>
            <w:noWrap/>
            <w:vAlign w:val="center"/>
          </w:tcPr>
          <w:p w14:paraId="3BD7903C">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15471</w:t>
            </w:r>
          </w:p>
        </w:tc>
        <w:tc>
          <w:tcPr>
            <w:tcW w:w="915" w:type="dxa"/>
            <w:tcBorders>
              <w:top w:val="single" w:color="auto" w:sz="4" w:space="0"/>
              <w:left w:val="nil"/>
              <w:bottom w:val="single" w:color="auto" w:sz="4" w:space="0"/>
              <w:right w:val="single" w:color="auto" w:sz="4" w:space="0"/>
            </w:tcBorders>
            <w:noWrap/>
            <w:vAlign w:val="center"/>
          </w:tcPr>
          <w:p w14:paraId="3D104485">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c>
          <w:tcPr>
            <w:tcW w:w="2698" w:type="dxa"/>
            <w:tcBorders>
              <w:top w:val="single" w:color="auto" w:sz="4" w:space="0"/>
              <w:left w:val="nil"/>
              <w:bottom w:val="single" w:color="auto" w:sz="4" w:space="0"/>
              <w:right w:val="single" w:color="auto" w:sz="4" w:space="0"/>
            </w:tcBorders>
            <w:noWrap/>
            <w:vAlign w:val="center"/>
          </w:tcPr>
          <w:p w14:paraId="6159EB31">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206.科学技术支出</w:t>
            </w:r>
          </w:p>
        </w:tc>
        <w:tc>
          <w:tcPr>
            <w:tcW w:w="795" w:type="dxa"/>
            <w:tcBorders>
              <w:top w:val="single" w:color="auto" w:sz="4" w:space="0"/>
              <w:left w:val="nil"/>
              <w:bottom w:val="single" w:color="auto" w:sz="4" w:space="0"/>
              <w:right w:val="single" w:color="auto" w:sz="4" w:space="0"/>
            </w:tcBorders>
            <w:noWrap/>
            <w:vAlign w:val="center"/>
          </w:tcPr>
          <w:p w14:paraId="0F9B34D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9892</w:t>
            </w:r>
          </w:p>
        </w:tc>
        <w:tc>
          <w:tcPr>
            <w:tcW w:w="825" w:type="dxa"/>
            <w:tcBorders>
              <w:top w:val="single" w:color="auto" w:sz="4" w:space="0"/>
              <w:left w:val="nil"/>
              <w:bottom w:val="single" w:color="auto" w:sz="4" w:space="0"/>
              <w:right w:val="single" w:color="auto" w:sz="4" w:space="0"/>
            </w:tcBorders>
            <w:noWrap/>
            <w:vAlign w:val="center"/>
          </w:tcPr>
          <w:p w14:paraId="15B9A15D">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9892</w:t>
            </w:r>
          </w:p>
        </w:tc>
        <w:tc>
          <w:tcPr>
            <w:tcW w:w="921" w:type="dxa"/>
            <w:tcBorders>
              <w:top w:val="single" w:color="auto" w:sz="4" w:space="0"/>
              <w:left w:val="nil"/>
              <w:bottom w:val="single" w:color="auto" w:sz="4" w:space="0"/>
              <w:right w:val="single" w:color="auto" w:sz="4" w:space="0"/>
            </w:tcBorders>
            <w:noWrap/>
            <w:vAlign w:val="center"/>
          </w:tcPr>
          <w:p w14:paraId="2443C3AB">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1F5AA2CB">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1AD41343">
            <w:pPr>
              <w:keepNext w:val="0"/>
              <w:keepLines w:val="0"/>
              <w:widowControl/>
              <w:suppressLineNumbers w:val="0"/>
              <w:jc w:val="left"/>
              <w:textAlignment w:val="center"/>
              <w:rPr>
                <w:rFonts w:ascii="Times New Roman" w:hAnsi="Times New Roman" w:cs="宋体"/>
                <w:color w:val="auto"/>
                <w:kern w:val="0"/>
                <w:sz w:val="18"/>
                <w:szCs w:val="18"/>
              </w:rPr>
            </w:pPr>
            <w:r>
              <w:rPr>
                <w:rStyle w:val="14"/>
                <w:lang w:val="en-US" w:eastAsia="zh-CN" w:bidi="ar"/>
              </w:rPr>
              <w:t>（二）一般性转移支付收入</w:t>
            </w:r>
          </w:p>
        </w:tc>
        <w:tc>
          <w:tcPr>
            <w:tcW w:w="756" w:type="dxa"/>
            <w:tcBorders>
              <w:top w:val="nil"/>
              <w:left w:val="nil"/>
              <w:bottom w:val="single" w:color="auto" w:sz="4" w:space="0"/>
              <w:right w:val="single" w:color="auto" w:sz="4" w:space="0"/>
            </w:tcBorders>
            <w:noWrap/>
            <w:vAlign w:val="center"/>
          </w:tcPr>
          <w:p w14:paraId="19E831C1">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249239</w:t>
            </w:r>
          </w:p>
        </w:tc>
        <w:tc>
          <w:tcPr>
            <w:tcW w:w="761" w:type="dxa"/>
            <w:tcBorders>
              <w:top w:val="nil"/>
              <w:left w:val="nil"/>
              <w:bottom w:val="single" w:color="auto" w:sz="4" w:space="0"/>
              <w:right w:val="single" w:color="auto" w:sz="4" w:space="0"/>
            </w:tcBorders>
            <w:noWrap/>
            <w:vAlign w:val="center"/>
          </w:tcPr>
          <w:p w14:paraId="6D74A934">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236875</w:t>
            </w:r>
          </w:p>
        </w:tc>
        <w:tc>
          <w:tcPr>
            <w:tcW w:w="915" w:type="dxa"/>
            <w:tcBorders>
              <w:top w:val="nil"/>
              <w:left w:val="nil"/>
              <w:bottom w:val="single" w:color="auto" w:sz="4" w:space="0"/>
              <w:right w:val="single" w:color="auto" w:sz="4" w:space="0"/>
            </w:tcBorders>
            <w:noWrap/>
            <w:vAlign w:val="center"/>
          </w:tcPr>
          <w:p w14:paraId="12877332">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95.04%</w:t>
            </w:r>
          </w:p>
        </w:tc>
        <w:tc>
          <w:tcPr>
            <w:tcW w:w="2698" w:type="dxa"/>
            <w:tcBorders>
              <w:top w:val="nil"/>
              <w:left w:val="nil"/>
              <w:bottom w:val="single" w:color="auto" w:sz="4" w:space="0"/>
              <w:right w:val="single" w:color="auto" w:sz="4" w:space="0"/>
            </w:tcBorders>
            <w:noWrap/>
            <w:vAlign w:val="center"/>
          </w:tcPr>
          <w:p w14:paraId="34777963">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207.文化旅游体育与传媒支出</w:t>
            </w:r>
          </w:p>
        </w:tc>
        <w:tc>
          <w:tcPr>
            <w:tcW w:w="795" w:type="dxa"/>
            <w:tcBorders>
              <w:top w:val="nil"/>
              <w:left w:val="nil"/>
              <w:bottom w:val="single" w:color="auto" w:sz="4" w:space="0"/>
              <w:right w:val="single" w:color="auto" w:sz="4" w:space="0"/>
            </w:tcBorders>
            <w:noWrap/>
            <w:vAlign w:val="center"/>
          </w:tcPr>
          <w:p w14:paraId="78FA2FD1">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6368</w:t>
            </w:r>
          </w:p>
        </w:tc>
        <w:tc>
          <w:tcPr>
            <w:tcW w:w="825" w:type="dxa"/>
            <w:tcBorders>
              <w:top w:val="nil"/>
              <w:left w:val="nil"/>
              <w:bottom w:val="single" w:color="auto" w:sz="4" w:space="0"/>
              <w:right w:val="single" w:color="auto" w:sz="4" w:space="0"/>
            </w:tcBorders>
            <w:noWrap/>
            <w:vAlign w:val="center"/>
          </w:tcPr>
          <w:p w14:paraId="554B0C08">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6368</w:t>
            </w:r>
          </w:p>
        </w:tc>
        <w:tc>
          <w:tcPr>
            <w:tcW w:w="921" w:type="dxa"/>
            <w:tcBorders>
              <w:top w:val="nil"/>
              <w:left w:val="nil"/>
              <w:bottom w:val="single" w:color="auto" w:sz="4" w:space="0"/>
              <w:right w:val="single" w:color="auto" w:sz="4" w:space="0"/>
            </w:tcBorders>
            <w:noWrap/>
            <w:vAlign w:val="center"/>
          </w:tcPr>
          <w:p w14:paraId="5796AF1B">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5CFA4D77">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7A171DB9">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（三）专项转移支付收入</w:t>
            </w:r>
          </w:p>
        </w:tc>
        <w:tc>
          <w:tcPr>
            <w:tcW w:w="756" w:type="dxa"/>
            <w:tcBorders>
              <w:top w:val="nil"/>
              <w:left w:val="nil"/>
              <w:bottom w:val="single" w:color="auto" w:sz="4" w:space="0"/>
              <w:right w:val="single" w:color="auto" w:sz="4" w:space="0"/>
            </w:tcBorders>
            <w:noWrap/>
            <w:vAlign w:val="center"/>
          </w:tcPr>
          <w:p w14:paraId="340A34F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33109</w:t>
            </w:r>
          </w:p>
        </w:tc>
        <w:tc>
          <w:tcPr>
            <w:tcW w:w="761" w:type="dxa"/>
            <w:tcBorders>
              <w:top w:val="nil"/>
              <w:left w:val="nil"/>
              <w:bottom w:val="single" w:color="auto" w:sz="4" w:space="0"/>
              <w:right w:val="single" w:color="auto" w:sz="4" w:space="0"/>
            </w:tcBorders>
            <w:noWrap/>
            <w:vAlign w:val="center"/>
          </w:tcPr>
          <w:p w14:paraId="13676791">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33319</w:t>
            </w:r>
          </w:p>
        </w:tc>
        <w:tc>
          <w:tcPr>
            <w:tcW w:w="915" w:type="dxa"/>
            <w:tcBorders>
              <w:top w:val="nil"/>
              <w:left w:val="nil"/>
              <w:bottom w:val="single" w:color="auto" w:sz="4" w:space="0"/>
              <w:right w:val="single" w:color="auto" w:sz="4" w:space="0"/>
            </w:tcBorders>
            <w:noWrap/>
            <w:vAlign w:val="center"/>
          </w:tcPr>
          <w:p w14:paraId="7ADC97BE">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100.63%</w:t>
            </w:r>
          </w:p>
        </w:tc>
        <w:tc>
          <w:tcPr>
            <w:tcW w:w="2698" w:type="dxa"/>
            <w:tcBorders>
              <w:top w:val="nil"/>
              <w:left w:val="nil"/>
              <w:bottom w:val="single" w:color="auto" w:sz="4" w:space="0"/>
              <w:right w:val="single" w:color="auto" w:sz="4" w:space="0"/>
            </w:tcBorders>
            <w:noWrap/>
            <w:vAlign w:val="center"/>
          </w:tcPr>
          <w:p w14:paraId="18F1BDBE">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208.社会保障和就业支出</w:t>
            </w:r>
          </w:p>
        </w:tc>
        <w:tc>
          <w:tcPr>
            <w:tcW w:w="795" w:type="dxa"/>
            <w:tcBorders>
              <w:top w:val="nil"/>
              <w:left w:val="nil"/>
              <w:bottom w:val="single" w:color="auto" w:sz="4" w:space="0"/>
              <w:right w:val="single" w:color="auto" w:sz="4" w:space="0"/>
            </w:tcBorders>
            <w:noWrap/>
            <w:vAlign w:val="center"/>
          </w:tcPr>
          <w:p w14:paraId="5D867E49">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54964</w:t>
            </w:r>
          </w:p>
        </w:tc>
        <w:tc>
          <w:tcPr>
            <w:tcW w:w="825" w:type="dxa"/>
            <w:tcBorders>
              <w:top w:val="nil"/>
              <w:left w:val="nil"/>
              <w:bottom w:val="single" w:color="auto" w:sz="4" w:space="0"/>
              <w:right w:val="single" w:color="auto" w:sz="4" w:space="0"/>
            </w:tcBorders>
            <w:noWrap/>
            <w:vAlign w:val="center"/>
          </w:tcPr>
          <w:p w14:paraId="52569D84">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54964</w:t>
            </w:r>
          </w:p>
        </w:tc>
        <w:tc>
          <w:tcPr>
            <w:tcW w:w="921" w:type="dxa"/>
            <w:tcBorders>
              <w:top w:val="nil"/>
              <w:left w:val="nil"/>
              <w:bottom w:val="single" w:color="auto" w:sz="4" w:space="0"/>
              <w:right w:val="single" w:color="auto" w:sz="4" w:space="0"/>
            </w:tcBorders>
            <w:noWrap/>
            <w:vAlign w:val="center"/>
          </w:tcPr>
          <w:p w14:paraId="017CF112">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47927F01">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2D5066A1">
            <w:pPr>
              <w:keepNext w:val="0"/>
              <w:keepLines w:val="0"/>
              <w:widowControl/>
              <w:suppressLineNumbers w:val="0"/>
              <w:jc w:val="left"/>
              <w:textAlignment w:val="center"/>
              <w:rPr>
                <w:rFonts w:hint="eastAsia" w:ascii="Times New Roman" w:hAnsi="Times New Roman" w:eastAsia="宋体" w:cs="宋体"/>
                <w:color w:val="auto"/>
                <w:kern w:val="0"/>
                <w:sz w:val="18"/>
                <w:szCs w:val="18"/>
                <w:lang w:eastAsia="zh-CN"/>
              </w:rPr>
            </w:pPr>
            <w:r>
              <w:rPr>
                <w:rFonts w:hint="eastAsia" w:ascii="宋体" w:hAnsi="宋体" w:eastAsia="宋体" w:cs="宋体"/>
                <w:i w:val="0"/>
                <w:iCs w:val="0"/>
                <w:color w:val="000000"/>
                <w:kern w:val="0"/>
                <w:sz w:val="18"/>
                <w:szCs w:val="18"/>
                <w:u w:val="none"/>
                <w:lang w:val="en-US" w:eastAsia="zh-CN" w:bidi="ar"/>
              </w:rPr>
              <w:t>三、上年结余收入</w:t>
            </w:r>
          </w:p>
        </w:tc>
        <w:tc>
          <w:tcPr>
            <w:tcW w:w="756" w:type="dxa"/>
            <w:tcBorders>
              <w:top w:val="nil"/>
              <w:left w:val="nil"/>
              <w:bottom w:val="single" w:color="auto" w:sz="4" w:space="0"/>
              <w:right w:val="single" w:color="auto" w:sz="4" w:space="0"/>
            </w:tcBorders>
            <w:noWrap/>
            <w:vAlign w:val="center"/>
          </w:tcPr>
          <w:p w14:paraId="7A8FE5C5">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49568</w:t>
            </w:r>
          </w:p>
        </w:tc>
        <w:tc>
          <w:tcPr>
            <w:tcW w:w="761" w:type="dxa"/>
            <w:tcBorders>
              <w:top w:val="nil"/>
              <w:left w:val="nil"/>
              <w:bottom w:val="single" w:color="auto" w:sz="4" w:space="0"/>
              <w:right w:val="single" w:color="auto" w:sz="4" w:space="0"/>
            </w:tcBorders>
            <w:noWrap/>
            <w:vAlign w:val="center"/>
          </w:tcPr>
          <w:p w14:paraId="21FCCDD5">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49568</w:t>
            </w:r>
          </w:p>
        </w:tc>
        <w:tc>
          <w:tcPr>
            <w:tcW w:w="915" w:type="dxa"/>
            <w:tcBorders>
              <w:top w:val="nil"/>
              <w:left w:val="nil"/>
              <w:bottom w:val="single" w:color="auto" w:sz="4" w:space="0"/>
              <w:right w:val="single" w:color="auto" w:sz="4" w:space="0"/>
            </w:tcBorders>
            <w:noWrap/>
            <w:vAlign w:val="center"/>
          </w:tcPr>
          <w:p w14:paraId="78FB6C17">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c>
          <w:tcPr>
            <w:tcW w:w="2698" w:type="dxa"/>
            <w:tcBorders>
              <w:top w:val="nil"/>
              <w:left w:val="nil"/>
              <w:bottom w:val="single" w:color="auto" w:sz="4" w:space="0"/>
              <w:right w:val="single" w:color="auto" w:sz="4" w:space="0"/>
            </w:tcBorders>
            <w:noWrap/>
            <w:vAlign w:val="center"/>
          </w:tcPr>
          <w:p w14:paraId="68211E40">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210.卫生健康支出</w:t>
            </w:r>
          </w:p>
        </w:tc>
        <w:tc>
          <w:tcPr>
            <w:tcW w:w="795" w:type="dxa"/>
            <w:tcBorders>
              <w:top w:val="nil"/>
              <w:left w:val="nil"/>
              <w:bottom w:val="single" w:color="auto" w:sz="4" w:space="0"/>
              <w:right w:val="single" w:color="auto" w:sz="4" w:space="0"/>
            </w:tcBorders>
            <w:noWrap/>
            <w:vAlign w:val="center"/>
          </w:tcPr>
          <w:p w14:paraId="325F4838">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28980</w:t>
            </w:r>
          </w:p>
        </w:tc>
        <w:tc>
          <w:tcPr>
            <w:tcW w:w="825" w:type="dxa"/>
            <w:tcBorders>
              <w:top w:val="nil"/>
              <w:left w:val="nil"/>
              <w:bottom w:val="single" w:color="auto" w:sz="4" w:space="0"/>
              <w:right w:val="single" w:color="auto" w:sz="4" w:space="0"/>
            </w:tcBorders>
            <w:noWrap/>
            <w:vAlign w:val="center"/>
          </w:tcPr>
          <w:p w14:paraId="6FEE19A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28980</w:t>
            </w:r>
          </w:p>
        </w:tc>
        <w:tc>
          <w:tcPr>
            <w:tcW w:w="921" w:type="dxa"/>
            <w:tcBorders>
              <w:top w:val="nil"/>
              <w:left w:val="nil"/>
              <w:bottom w:val="single" w:color="auto" w:sz="4" w:space="0"/>
              <w:right w:val="single" w:color="auto" w:sz="4" w:space="0"/>
            </w:tcBorders>
            <w:noWrap/>
            <w:vAlign w:val="center"/>
          </w:tcPr>
          <w:p w14:paraId="19DEC0E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032687DA">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317130A5">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四、调入资金</w:t>
            </w:r>
          </w:p>
        </w:tc>
        <w:tc>
          <w:tcPr>
            <w:tcW w:w="756" w:type="dxa"/>
            <w:tcBorders>
              <w:top w:val="nil"/>
              <w:left w:val="nil"/>
              <w:bottom w:val="single" w:color="auto" w:sz="4" w:space="0"/>
              <w:right w:val="single" w:color="auto" w:sz="4" w:space="0"/>
            </w:tcBorders>
            <w:noWrap/>
            <w:vAlign w:val="center"/>
          </w:tcPr>
          <w:p w14:paraId="2F5E40AA">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5049</w:t>
            </w:r>
          </w:p>
        </w:tc>
        <w:tc>
          <w:tcPr>
            <w:tcW w:w="761" w:type="dxa"/>
            <w:tcBorders>
              <w:top w:val="nil"/>
              <w:left w:val="nil"/>
              <w:bottom w:val="single" w:color="auto" w:sz="4" w:space="0"/>
              <w:right w:val="single" w:color="auto" w:sz="4" w:space="0"/>
            </w:tcBorders>
            <w:noWrap/>
            <w:vAlign w:val="center"/>
          </w:tcPr>
          <w:p w14:paraId="1C4E7D67">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5049</w:t>
            </w:r>
          </w:p>
        </w:tc>
        <w:tc>
          <w:tcPr>
            <w:tcW w:w="915" w:type="dxa"/>
            <w:tcBorders>
              <w:top w:val="nil"/>
              <w:left w:val="nil"/>
              <w:bottom w:val="single" w:color="auto" w:sz="4" w:space="0"/>
              <w:right w:val="single" w:color="auto" w:sz="4" w:space="0"/>
            </w:tcBorders>
            <w:noWrap/>
            <w:vAlign w:val="center"/>
          </w:tcPr>
          <w:p w14:paraId="690258CD">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c>
          <w:tcPr>
            <w:tcW w:w="2698" w:type="dxa"/>
            <w:tcBorders>
              <w:top w:val="nil"/>
              <w:left w:val="nil"/>
              <w:bottom w:val="single" w:color="auto" w:sz="4" w:space="0"/>
              <w:right w:val="single" w:color="auto" w:sz="4" w:space="0"/>
            </w:tcBorders>
            <w:noWrap/>
            <w:vAlign w:val="center"/>
          </w:tcPr>
          <w:p w14:paraId="2946FF37">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211.节能环保支出</w:t>
            </w:r>
          </w:p>
        </w:tc>
        <w:tc>
          <w:tcPr>
            <w:tcW w:w="795" w:type="dxa"/>
            <w:tcBorders>
              <w:top w:val="nil"/>
              <w:left w:val="nil"/>
              <w:bottom w:val="single" w:color="auto" w:sz="4" w:space="0"/>
              <w:right w:val="single" w:color="auto" w:sz="4" w:space="0"/>
            </w:tcBorders>
            <w:noWrap/>
            <w:vAlign w:val="center"/>
          </w:tcPr>
          <w:p w14:paraId="2818AC2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10891</w:t>
            </w:r>
          </w:p>
        </w:tc>
        <w:tc>
          <w:tcPr>
            <w:tcW w:w="825" w:type="dxa"/>
            <w:tcBorders>
              <w:top w:val="nil"/>
              <w:left w:val="nil"/>
              <w:bottom w:val="single" w:color="auto" w:sz="4" w:space="0"/>
              <w:right w:val="single" w:color="auto" w:sz="4" w:space="0"/>
            </w:tcBorders>
            <w:noWrap/>
            <w:vAlign w:val="center"/>
          </w:tcPr>
          <w:p w14:paraId="26DA651B">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10891</w:t>
            </w:r>
          </w:p>
        </w:tc>
        <w:tc>
          <w:tcPr>
            <w:tcW w:w="921" w:type="dxa"/>
            <w:tcBorders>
              <w:top w:val="nil"/>
              <w:left w:val="nil"/>
              <w:bottom w:val="single" w:color="auto" w:sz="4" w:space="0"/>
              <w:right w:val="single" w:color="auto" w:sz="4" w:space="0"/>
            </w:tcBorders>
            <w:noWrap/>
            <w:vAlign w:val="center"/>
          </w:tcPr>
          <w:p w14:paraId="5055086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3EA3F4DE">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06C8B7FE">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五、一般债务转贷收入</w:t>
            </w:r>
          </w:p>
        </w:tc>
        <w:tc>
          <w:tcPr>
            <w:tcW w:w="756" w:type="dxa"/>
            <w:tcBorders>
              <w:top w:val="nil"/>
              <w:left w:val="nil"/>
              <w:bottom w:val="single" w:color="auto" w:sz="4" w:space="0"/>
              <w:right w:val="single" w:color="auto" w:sz="4" w:space="0"/>
            </w:tcBorders>
            <w:noWrap/>
            <w:vAlign w:val="center"/>
          </w:tcPr>
          <w:p w14:paraId="41E55DE6">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49402</w:t>
            </w:r>
          </w:p>
        </w:tc>
        <w:tc>
          <w:tcPr>
            <w:tcW w:w="761" w:type="dxa"/>
            <w:tcBorders>
              <w:top w:val="nil"/>
              <w:left w:val="nil"/>
              <w:bottom w:val="single" w:color="auto" w:sz="4" w:space="0"/>
              <w:right w:val="single" w:color="auto" w:sz="4" w:space="0"/>
            </w:tcBorders>
            <w:noWrap/>
            <w:vAlign w:val="center"/>
          </w:tcPr>
          <w:p w14:paraId="030C730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49402</w:t>
            </w:r>
          </w:p>
        </w:tc>
        <w:tc>
          <w:tcPr>
            <w:tcW w:w="915" w:type="dxa"/>
            <w:tcBorders>
              <w:top w:val="nil"/>
              <w:left w:val="nil"/>
              <w:bottom w:val="single" w:color="auto" w:sz="4" w:space="0"/>
              <w:right w:val="single" w:color="auto" w:sz="4" w:space="0"/>
            </w:tcBorders>
            <w:noWrap/>
            <w:vAlign w:val="center"/>
          </w:tcPr>
          <w:p w14:paraId="06E753FE">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c>
          <w:tcPr>
            <w:tcW w:w="2698" w:type="dxa"/>
            <w:tcBorders>
              <w:top w:val="nil"/>
              <w:left w:val="nil"/>
              <w:bottom w:val="single" w:color="auto" w:sz="4" w:space="0"/>
              <w:right w:val="single" w:color="auto" w:sz="4" w:space="0"/>
            </w:tcBorders>
            <w:noWrap/>
            <w:vAlign w:val="center"/>
          </w:tcPr>
          <w:p w14:paraId="49F240F7">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212.城乡社区支出</w:t>
            </w:r>
          </w:p>
        </w:tc>
        <w:tc>
          <w:tcPr>
            <w:tcW w:w="795" w:type="dxa"/>
            <w:tcBorders>
              <w:top w:val="nil"/>
              <w:left w:val="nil"/>
              <w:bottom w:val="single" w:color="auto" w:sz="4" w:space="0"/>
              <w:right w:val="single" w:color="auto" w:sz="4" w:space="0"/>
            </w:tcBorders>
            <w:noWrap/>
            <w:vAlign w:val="center"/>
          </w:tcPr>
          <w:p w14:paraId="6D7D1856">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32144</w:t>
            </w:r>
          </w:p>
        </w:tc>
        <w:tc>
          <w:tcPr>
            <w:tcW w:w="825" w:type="dxa"/>
            <w:tcBorders>
              <w:top w:val="nil"/>
              <w:left w:val="nil"/>
              <w:bottom w:val="single" w:color="auto" w:sz="4" w:space="0"/>
              <w:right w:val="single" w:color="auto" w:sz="4" w:space="0"/>
            </w:tcBorders>
            <w:noWrap/>
            <w:vAlign w:val="center"/>
          </w:tcPr>
          <w:p w14:paraId="603B8A1A">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32144</w:t>
            </w:r>
          </w:p>
        </w:tc>
        <w:tc>
          <w:tcPr>
            <w:tcW w:w="921" w:type="dxa"/>
            <w:tcBorders>
              <w:top w:val="nil"/>
              <w:left w:val="nil"/>
              <w:bottom w:val="single" w:color="auto" w:sz="4" w:space="0"/>
              <w:right w:val="single" w:color="auto" w:sz="4" w:space="0"/>
            </w:tcBorders>
            <w:noWrap/>
            <w:vAlign w:val="center"/>
          </w:tcPr>
          <w:p w14:paraId="30655973">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401C3E77">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28975512">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六、动用预算稳定调节基金</w:t>
            </w:r>
          </w:p>
        </w:tc>
        <w:tc>
          <w:tcPr>
            <w:tcW w:w="756" w:type="dxa"/>
            <w:tcBorders>
              <w:top w:val="nil"/>
              <w:left w:val="nil"/>
              <w:bottom w:val="single" w:color="auto" w:sz="4" w:space="0"/>
              <w:right w:val="single" w:color="auto" w:sz="4" w:space="0"/>
            </w:tcBorders>
            <w:noWrap/>
            <w:vAlign w:val="center"/>
          </w:tcPr>
          <w:p w14:paraId="0355532F">
            <w:pPr>
              <w:jc w:val="center"/>
              <w:rPr>
                <w:rFonts w:hint="eastAsia" w:ascii="Times New Roman" w:hAnsi="Times New Roman" w:eastAsia="宋体" w:cs="宋体"/>
                <w:color w:val="auto"/>
                <w:kern w:val="0"/>
                <w:sz w:val="18"/>
                <w:szCs w:val="18"/>
                <w:lang w:val="en-US" w:eastAsia="zh-CN"/>
              </w:rPr>
            </w:pPr>
          </w:p>
        </w:tc>
        <w:tc>
          <w:tcPr>
            <w:tcW w:w="761" w:type="dxa"/>
            <w:tcBorders>
              <w:top w:val="nil"/>
              <w:left w:val="nil"/>
              <w:bottom w:val="single" w:color="auto" w:sz="4" w:space="0"/>
              <w:right w:val="single" w:color="auto" w:sz="4" w:space="0"/>
            </w:tcBorders>
            <w:noWrap/>
            <w:vAlign w:val="center"/>
          </w:tcPr>
          <w:p w14:paraId="2AC3EB3F">
            <w:pPr>
              <w:jc w:val="center"/>
              <w:rPr>
                <w:rFonts w:hint="eastAsia" w:ascii="Times New Roman" w:hAnsi="Times New Roman" w:eastAsia="宋体" w:cs="宋体"/>
                <w:color w:val="auto"/>
                <w:kern w:val="0"/>
                <w:sz w:val="18"/>
                <w:szCs w:val="18"/>
                <w:lang w:val="en-US" w:eastAsia="zh-CN"/>
              </w:rPr>
            </w:pPr>
          </w:p>
        </w:tc>
        <w:tc>
          <w:tcPr>
            <w:tcW w:w="915" w:type="dxa"/>
            <w:tcBorders>
              <w:top w:val="nil"/>
              <w:left w:val="nil"/>
              <w:bottom w:val="single" w:color="auto" w:sz="4" w:space="0"/>
              <w:right w:val="single" w:color="auto" w:sz="4" w:space="0"/>
            </w:tcBorders>
            <w:noWrap/>
            <w:vAlign w:val="center"/>
          </w:tcPr>
          <w:p w14:paraId="3B9A647D">
            <w:pPr>
              <w:jc w:val="center"/>
              <w:rPr>
                <w:rFonts w:hint="eastAsia" w:ascii="Times New Roman" w:hAnsi="Times New Roman" w:eastAsia="宋体" w:cs="宋体"/>
                <w:color w:val="auto"/>
                <w:kern w:val="0"/>
                <w:sz w:val="18"/>
                <w:szCs w:val="18"/>
                <w:lang w:val="en-US" w:eastAsia="zh-CN"/>
              </w:rPr>
            </w:pPr>
          </w:p>
        </w:tc>
        <w:tc>
          <w:tcPr>
            <w:tcW w:w="2698" w:type="dxa"/>
            <w:tcBorders>
              <w:top w:val="nil"/>
              <w:left w:val="nil"/>
              <w:bottom w:val="single" w:color="auto" w:sz="4" w:space="0"/>
              <w:right w:val="single" w:color="auto" w:sz="4" w:space="0"/>
            </w:tcBorders>
            <w:noWrap/>
            <w:vAlign w:val="center"/>
          </w:tcPr>
          <w:p w14:paraId="3ED05196">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213.农林水支出</w:t>
            </w:r>
          </w:p>
        </w:tc>
        <w:tc>
          <w:tcPr>
            <w:tcW w:w="795" w:type="dxa"/>
            <w:tcBorders>
              <w:top w:val="nil"/>
              <w:left w:val="nil"/>
              <w:bottom w:val="single" w:color="auto" w:sz="4" w:space="0"/>
              <w:right w:val="single" w:color="auto" w:sz="4" w:space="0"/>
            </w:tcBorders>
            <w:noWrap/>
            <w:vAlign w:val="center"/>
          </w:tcPr>
          <w:p w14:paraId="44A5C629">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92644</w:t>
            </w:r>
          </w:p>
        </w:tc>
        <w:tc>
          <w:tcPr>
            <w:tcW w:w="825" w:type="dxa"/>
            <w:tcBorders>
              <w:top w:val="nil"/>
              <w:left w:val="nil"/>
              <w:bottom w:val="single" w:color="auto" w:sz="4" w:space="0"/>
              <w:right w:val="single" w:color="auto" w:sz="4" w:space="0"/>
            </w:tcBorders>
            <w:noWrap/>
            <w:vAlign w:val="center"/>
          </w:tcPr>
          <w:p w14:paraId="3743C04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92644</w:t>
            </w:r>
          </w:p>
        </w:tc>
        <w:tc>
          <w:tcPr>
            <w:tcW w:w="921" w:type="dxa"/>
            <w:tcBorders>
              <w:top w:val="nil"/>
              <w:left w:val="nil"/>
              <w:bottom w:val="single" w:color="auto" w:sz="4" w:space="0"/>
              <w:right w:val="single" w:color="auto" w:sz="4" w:space="0"/>
            </w:tcBorders>
            <w:noWrap/>
            <w:vAlign w:val="center"/>
          </w:tcPr>
          <w:p w14:paraId="1643E793">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488ACF97">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4650D995">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76330351">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69957826">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0DD20E7F">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707DDC74">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214.交通运输支出</w:t>
            </w:r>
          </w:p>
        </w:tc>
        <w:tc>
          <w:tcPr>
            <w:tcW w:w="795" w:type="dxa"/>
            <w:tcBorders>
              <w:top w:val="nil"/>
              <w:left w:val="nil"/>
              <w:bottom w:val="single" w:color="auto" w:sz="4" w:space="0"/>
              <w:right w:val="single" w:color="auto" w:sz="4" w:space="0"/>
            </w:tcBorders>
            <w:noWrap/>
            <w:vAlign w:val="center"/>
          </w:tcPr>
          <w:p w14:paraId="76DB0195">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23743</w:t>
            </w:r>
          </w:p>
        </w:tc>
        <w:tc>
          <w:tcPr>
            <w:tcW w:w="825" w:type="dxa"/>
            <w:tcBorders>
              <w:top w:val="nil"/>
              <w:left w:val="nil"/>
              <w:bottom w:val="single" w:color="auto" w:sz="4" w:space="0"/>
              <w:right w:val="single" w:color="auto" w:sz="4" w:space="0"/>
            </w:tcBorders>
            <w:noWrap/>
            <w:vAlign w:val="center"/>
          </w:tcPr>
          <w:p w14:paraId="10B978C6">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23756</w:t>
            </w:r>
          </w:p>
        </w:tc>
        <w:tc>
          <w:tcPr>
            <w:tcW w:w="921" w:type="dxa"/>
            <w:tcBorders>
              <w:top w:val="nil"/>
              <w:left w:val="nil"/>
              <w:bottom w:val="single" w:color="auto" w:sz="4" w:space="0"/>
              <w:right w:val="single" w:color="auto" w:sz="4" w:space="0"/>
            </w:tcBorders>
            <w:noWrap/>
            <w:vAlign w:val="center"/>
          </w:tcPr>
          <w:p w14:paraId="7B4FB5C4">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100.05%</w:t>
            </w:r>
          </w:p>
        </w:tc>
      </w:tr>
      <w:tr w14:paraId="0A7D0EE8">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6600E31C">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67081A2B">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2007E2FC">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7F8A12F2">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49511CA0">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215.资源勘探工业信息等支出</w:t>
            </w:r>
          </w:p>
        </w:tc>
        <w:tc>
          <w:tcPr>
            <w:tcW w:w="795" w:type="dxa"/>
            <w:tcBorders>
              <w:top w:val="nil"/>
              <w:left w:val="nil"/>
              <w:bottom w:val="single" w:color="auto" w:sz="4" w:space="0"/>
              <w:right w:val="single" w:color="auto" w:sz="4" w:space="0"/>
            </w:tcBorders>
            <w:noWrap/>
            <w:vAlign w:val="center"/>
          </w:tcPr>
          <w:p w14:paraId="3E489EB9">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868</w:t>
            </w:r>
          </w:p>
        </w:tc>
        <w:tc>
          <w:tcPr>
            <w:tcW w:w="825" w:type="dxa"/>
            <w:tcBorders>
              <w:top w:val="nil"/>
              <w:left w:val="nil"/>
              <w:bottom w:val="single" w:color="auto" w:sz="4" w:space="0"/>
              <w:right w:val="single" w:color="auto" w:sz="4" w:space="0"/>
            </w:tcBorders>
            <w:noWrap/>
            <w:vAlign w:val="center"/>
          </w:tcPr>
          <w:p w14:paraId="2CB6B45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868</w:t>
            </w:r>
          </w:p>
        </w:tc>
        <w:tc>
          <w:tcPr>
            <w:tcW w:w="921" w:type="dxa"/>
            <w:tcBorders>
              <w:top w:val="nil"/>
              <w:left w:val="nil"/>
              <w:bottom w:val="single" w:color="auto" w:sz="4" w:space="0"/>
              <w:right w:val="single" w:color="auto" w:sz="4" w:space="0"/>
            </w:tcBorders>
            <w:noWrap/>
            <w:vAlign w:val="center"/>
          </w:tcPr>
          <w:p w14:paraId="6217BDD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7661B267">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1CFAD4E5">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774A434D">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37C0241A">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329564A7">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61F2941F">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216.商业服务业等支出</w:t>
            </w:r>
          </w:p>
        </w:tc>
        <w:tc>
          <w:tcPr>
            <w:tcW w:w="795" w:type="dxa"/>
            <w:tcBorders>
              <w:top w:val="nil"/>
              <w:left w:val="nil"/>
              <w:bottom w:val="single" w:color="auto" w:sz="4" w:space="0"/>
              <w:right w:val="single" w:color="auto" w:sz="4" w:space="0"/>
            </w:tcBorders>
            <w:noWrap/>
            <w:vAlign w:val="center"/>
          </w:tcPr>
          <w:p w14:paraId="790BCC0D">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667</w:t>
            </w:r>
          </w:p>
        </w:tc>
        <w:tc>
          <w:tcPr>
            <w:tcW w:w="825" w:type="dxa"/>
            <w:tcBorders>
              <w:top w:val="nil"/>
              <w:left w:val="nil"/>
              <w:bottom w:val="single" w:color="auto" w:sz="4" w:space="0"/>
              <w:right w:val="single" w:color="auto" w:sz="4" w:space="0"/>
            </w:tcBorders>
            <w:noWrap/>
            <w:vAlign w:val="center"/>
          </w:tcPr>
          <w:p w14:paraId="1FA0845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667</w:t>
            </w:r>
          </w:p>
        </w:tc>
        <w:tc>
          <w:tcPr>
            <w:tcW w:w="921" w:type="dxa"/>
            <w:tcBorders>
              <w:top w:val="nil"/>
              <w:left w:val="nil"/>
              <w:bottom w:val="single" w:color="auto" w:sz="4" w:space="0"/>
              <w:right w:val="single" w:color="auto" w:sz="4" w:space="0"/>
            </w:tcBorders>
            <w:noWrap/>
            <w:vAlign w:val="center"/>
          </w:tcPr>
          <w:p w14:paraId="7155A38B">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3F9B028E">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22AD5802">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7C8ED950">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4E4F7E59">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7330E41A">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6AEF8839">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220.自然资源海洋气象等支出</w:t>
            </w:r>
          </w:p>
        </w:tc>
        <w:tc>
          <w:tcPr>
            <w:tcW w:w="795" w:type="dxa"/>
            <w:tcBorders>
              <w:top w:val="nil"/>
              <w:left w:val="nil"/>
              <w:bottom w:val="single" w:color="auto" w:sz="4" w:space="0"/>
              <w:right w:val="single" w:color="auto" w:sz="4" w:space="0"/>
            </w:tcBorders>
            <w:noWrap/>
            <w:vAlign w:val="center"/>
          </w:tcPr>
          <w:p w14:paraId="63BB8592">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6492</w:t>
            </w:r>
          </w:p>
        </w:tc>
        <w:tc>
          <w:tcPr>
            <w:tcW w:w="825" w:type="dxa"/>
            <w:tcBorders>
              <w:top w:val="nil"/>
              <w:left w:val="nil"/>
              <w:bottom w:val="single" w:color="auto" w:sz="4" w:space="0"/>
              <w:right w:val="single" w:color="auto" w:sz="4" w:space="0"/>
            </w:tcBorders>
            <w:noWrap/>
            <w:vAlign w:val="center"/>
          </w:tcPr>
          <w:p w14:paraId="449B85F1">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6492</w:t>
            </w:r>
          </w:p>
        </w:tc>
        <w:tc>
          <w:tcPr>
            <w:tcW w:w="921" w:type="dxa"/>
            <w:tcBorders>
              <w:top w:val="nil"/>
              <w:left w:val="nil"/>
              <w:bottom w:val="single" w:color="auto" w:sz="4" w:space="0"/>
              <w:right w:val="single" w:color="auto" w:sz="4" w:space="0"/>
            </w:tcBorders>
            <w:noWrap/>
            <w:vAlign w:val="center"/>
          </w:tcPr>
          <w:p w14:paraId="644F50D8">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15C06B85">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42899BDF">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2FE9CD46">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7FF1C7E7">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4283C002">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3E5CD80C">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221.住房保障支出</w:t>
            </w:r>
          </w:p>
        </w:tc>
        <w:tc>
          <w:tcPr>
            <w:tcW w:w="795" w:type="dxa"/>
            <w:tcBorders>
              <w:top w:val="nil"/>
              <w:left w:val="nil"/>
              <w:bottom w:val="single" w:color="auto" w:sz="4" w:space="0"/>
              <w:right w:val="single" w:color="auto" w:sz="4" w:space="0"/>
            </w:tcBorders>
            <w:noWrap/>
            <w:vAlign w:val="center"/>
          </w:tcPr>
          <w:p w14:paraId="7709C9E3">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12820</w:t>
            </w:r>
          </w:p>
        </w:tc>
        <w:tc>
          <w:tcPr>
            <w:tcW w:w="825" w:type="dxa"/>
            <w:tcBorders>
              <w:top w:val="nil"/>
              <w:left w:val="nil"/>
              <w:bottom w:val="single" w:color="auto" w:sz="4" w:space="0"/>
              <w:right w:val="single" w:color="auto" w:sz="4" w:space="0"/>
            </w:tcBorders>
            <w:noWrap/>
            <w:vAlign w:val="center"/>
          </w:tcPr>
          <w:p w14:paraId="37F06D5D">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12820</w:t>
            </w:r>
          </w:p>
        </w:tc>
        <w:tc>
          <w:tcPr>
            <w:tcW w:w="921" w:type="dxa"/>
            <w:tcBorders>
              <w:top w:val="nil"/>
              <w:left w:val="nil"/>
              <w:bottom w:val="single" w:color="auto" w:sz="4" w:space="0"/>
              <w:right w:val="single" w:color="auto" w:sz="4" w:space="0"/>
            </w:tcBorders>
            <w:noWrap/>
            <w:vAlign w:val="center"/>
          </w:tcPr>
          <w:p w14:paraId="0DEDDBC6">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262AE7CF">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2F8F585F">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45973DD5">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6F05B272">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64B8255A">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53FB50B8">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222.粮油物资储备支出</w:t>
            </w:r>
          </w:p>
        </w:tc>
        <w:tc>
          <w:tcPr>
            <w:tcW w:w="795" w:type="dxa"/>
            <w:tcBorders>
              <w:top w:val="nil"/>
              <w:left w:val="nil"/>
              <w:bottom w:val="single" w:color="auto" w:sz="4" w:space="0"/>
              <w:right w:val="single" w:color="auto" w:sz="4" w:space="0"/>
            </w:tcBorders>
            <w:noWrap/>
            <w:vAlign w:val="center"/>
          </w:tcPr>
          <w:p w14:paraId="43378033">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1140</w:t>
            </w:r>
          </w:p>
        </w:tc>
        <w:tc>
          <w:tcPr>
            <w:tcW w:w="825" w:type="dxa"/>
            <w:tcBorders>
              <w:top w:val="nil"/>
              <w:left w:val="nil"/>
              <w:bottom w:val="single" w:color="auto" w:sz="4" w:space="0"/>
              <w:right w:val="single" w:color="auto" w:sz="4" w:space="0"/>
            </w:tcBorders>
            <w:noWrap/>
            <w:vAlign w:val="center"/>
          </w:tcPr>
          <w:p w14:paraId="2B97B263">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1140</w:t>
            </w:r>
          </w:p>
        </w:tc>
        <w:tc>
          <w:tcPr>
            <w:tcW w:w="921" w:type="dxa"/>
            <w:tcBorders>
              <w:top w:val="nil"/>
              <w:left w:val="nil"/>
              <w:bottom w:val="single" w:color="auto" w:sz="4" w:space="0"/>
              <w:right w:val="single" w:color="auto" w:sz="4" w:space="0"/>
            </w:tcBorders>
            <w:noWrap/>
            <w:vAlign w:val="center"/>
          </w:tcPr>
          <w:p w14:paraId="14EE7DFC">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76118EAC">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754C8DF7">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121BDB46">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136D99E4">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7F04F964">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266F4571">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224.灾害防治及应急管理支出</w:t>
            </w:r>
          </w:p>
        </w:tc>
        <w:tc>
          <w:tcPr>
            <w:tcW w:w="795" w:type="dxa"/>
            <w:tcBorders>
              <w:top w:val="nil"/>
              <w:left w:val="nil"/>
              <w:bottom w:val="single" w:color="auto" w:sz="4" w:space="0"/>
              <w:right w:val="single" w:color="auto" w:sz="4" w:space="0"/>
            </w:tcBorders>
            <w:noWrap/>
            <w:vAlign w:val="center"/>
          </w:tcPr>
          <w:p w14:paraId="5E6A326A">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9660</w:t>
            </w:r>
          </w:p>
        </w:tc>
        <w:tc>
          <w:tcPr>
            <w:tcW w:w="825" w:type="dxa"/>
            <w:tcBorders>
              <w:top w:val="nil"/>
              <w:left w:val="nil"/>
              <w:bottom w:val="single" w:color="auto" w:sz="4" w:space="0"/>
              <w:right w:val="single" w:color="auto" w:sz="4" w:space="0"/>
            </w:tcBorders>
            <w:noWrap/>
            <w:vAlign w:val="center"/>
          </w:tcPr>
          <w:p w14:paraId="116A039C">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9660</w:t>
            </w:r>
          </w:p>
        </w:tc>
        <w:tc>
          <w:tcPr>
            <w:tcW w:w="921" w:type="dxa"/>
            <w:tcBorders>
              <w:top w:val="nil"/>
              <w:left w:val="nil"/>
              <w:bottom w:val="single" w:color="auto" w:sz="4" w:space="0"/>
              <w:right w:val="single" w:color="auto" w:sz="4" w:space="0"/>
            </w:tcBorders>
            <w:noWrap/>
            <w:vAlign w:val="center"/>
          </w:tcPr>
          <w:p w14:paraId="54CE9E7C">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74DB7FEB">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7F4CE81D">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58BA8C05">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5593F525">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4BF34D88">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3A6BB1FB">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232.债务付息支出</w:t>
            </w:r>
          </w:p>
        </w:tc>
        <w:tc>
          <w:tcPr>
            <w:tcW w:w="795" w:type="dxa"/>
            <w:tcBorders>
              <w:top w:val="nil"/>
              <w:left w:val="nil"/>
              <w:bottom w:val="single" w:color="auto" w:sz="4" w:space="0"/>
              <w:right w:val="single" w:color="auto" w:sz="4" w:space="0"/>
            </w:tcBorders>
            <w:noWrap/>
            <w:vAlign w:val="center"/>
          </w:tcPr>
          <w:p w14:paraId="392F141A">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7552</w:t>
            </w:r>
          </w:p>
        </w:tc>
        <w:tc>
          <w:tcPr>
            <w:tcW w:w="825" w:type="dxa"/>
            <w:tcBorders>
              <w:top w:val="nil"/>
              <w:left w:val="nil"/>
              <w:bottom w:val="single" w:color="auto" w:sz="4" w:space="0"/>
              <w:right w:val="single" w:color="auto" w:sz="4" w:space="0"/>
            </w:tcBorders>
            <w:noWrap/>
            <w:vAlign w:val="center"/>
          </w:tcPr>
          <w:p w14:paraId="65811E4B">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7531</w:t>
            </w:r>
          </w:p>
        </w:tc>
        <w:tc>
          <w:tcPr>
            <w:tcW w:w="921" w:type="dxa"/>
            <w:tcBorders>
              <w:top w:val="nil"/>
              <w:left w:val="nil"/>
              <w:bottom w:val="single" w:color="auto" w:sz="4" w:space="0"/>
              <w:right w:val="single" w:color="auto" w:sz="4" w:space="0"/>
            </w:tcBorders>
            <w:noWrap/>
            <w:vAlign w:val="center"/>
          </w:tcPr>
          <w:p w14:paraId="7AD0B16E">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99.72%</w:t>
            </w:r>
          </w:p>
        </w:tc>
      </w:tr>
      <w:tr w14:paraId="1848E5F2">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505C62D9">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4C6001AA">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65180C5A">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2B08CE63">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536BA10D">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233.债务发行费用支出</w:t>
            </w:r>
          </w:p>
        </w:tc>
        <w:tc>
          <w:tcPr>
            <w:tcW w:w="795" w:type="dxa"/>
            <w:tcBorders>
              <w:top w:val="nil"/>
              <w:left w:val="nil"/>
              <w:bottom w:val="single" w:color="auto" w:sz="4" w:space="0"/>
              <w:right w:val="single" w:color="auto" w:sz="4" w:space="0"/>
            </w:tcBorders>
            <w:noWrap/>
            <w:vAlign w:val="center"/>
          </w:tcPr>
          <w:p w14:paraId="27C500AA">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20</w:t>
            </w:r>
          </w:p>
        </w:tc>
        <w:tc>
          <w:tcPr>
            <w:tcW w:w="825" w:type="dxa"/>
            <w:tcBorders>
              <w:top w:val="nil"/>
              <w:left w:val="nil"/>
              <w:bottom w:val="single" w:color="auto" w:sz="4" w:space="0"/>
              <w:right w:val="single" w:color="auto" w:sz="4" w:space="0"/>
            </w:tcBorders>
            <w:noWrap/>
            <w:vAlign w:val="center"/>
          </w:tcPr>
          <w:p w14:paraId="03D8BB84">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40</w:t>
            </w:r>
          </w:p>
        </w:tc>
        <w:tc>
          <w:tcPr>
            <w:tcW w:w="921" w:type="dxa"/>
            <w:tcBorders>
              <w:top w:val="nil"/>
              <w:left w:val="nil"/>
              <w:bottom w:val="single" w:color="auto" w:sz="4" w:space="0"/>
              <w:right w:val="single" w:color="auto" w:sz="4" w:space="0"/>
            </w:tcBorders>
            <w:noWrap/>
            <w:vAlign w:val="center"/>
          </w:tcPr>
          <w:p w14:paraId="360F3117">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200.00%</w:t>
            </w:r>
          </w:p>
        </w:tc>
      </w:tr>
      <w:tr w14:paraId="649B3072">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4440E7A5">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24D9EFAF">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190A3C25">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6D5650B2">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71A4D4C5">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二、上解支出</w:t>
            </w:r>
          </w:p>
        </w:tc>
        <w:tc>
          <w:tcPr>
            <w:tcW w:w="795" w:type="dxa"/>
            <w:tcBorders>
              <w:top w:val="nil"/>
              <w:left w:val="nil"/>
              <w:bottom w:val="single" w:color="auto" w:sz="4" w:space="0"/>
              <w:right w:val="single" w:color="auto" w:sz="4" w:space="0"/>
            </w:tcBorders>
            <w:noWrap/>
            <w:vAlign w:val="center"/>
          </w:tcPr>
          <w:p w14:paraId="2926EAD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14896</w:t>
            </w:r>
          </w:p>
        </w:tc>
        <w:tc>
          <w:tcPr>
            <w:tcW w:w="825" w:type="dxa"/>
            <w:tcBorders>
              <w:top w:val="nil"/>
              <w:left w:val="nil"/>
              <w:bottom w:val="single" w:color="auto" w:sz="4" w:space="0"/>
              <w:right w:val="single" w:color="auto" w:sz="4" w:space="0"/>
            </w:tcBorders>
            <w:noWrap/>
            <w:vAlign w:val="center"/>
          </w:tcPr>
          <w:p w14:paraId="24FA4336">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15122</w:t>
            </w:r>
          </w:p>
        </w:tc>
        <w:tc>
          <w:tcPr>
            <w:tcW w:w="921" w:type="dxa"/>
            <w:tcBorders>
              <w:top w:val="nil"/>
              <w:left w:val="nil"/>
              <w:bottom w:val="single" w:color="auto" w:sz="4" w:space="0"/>
              <w:right w:val="single" w:color="auto" w:sz="4" w:space="0"/>
            </w:tcBorders>
            <w:noWrap/>
            <w:vAlign w:val="center"/>
          </w:tcPr>
          <w:p w14:paraId="03F722C1">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101.52%</w:t>
            </w:r>
          </w:p>
        </w:tc>
      </w:tr>
      <w:tr w14:paraId="270E514B">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4F056EDA">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26580ABF">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086277D2">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42F8522B">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4BCFFE89">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三、安排预算稳定调节基金</w:t>
            </w:r>
          </w:p>
        </w:tc>
        <w:tc>
          <w:tcPr>
            <w:tcW w:w="795" w:type="dxa"/>
            <w:tcBorders>
              <w:top w:val="nil"/>
              <w:left w:val="nil"/>
              <w:bottom w:val="single" w:color="auto" w:sz="4" w:space="0"/>
              <w:right w:val="single" w:color="auto" w:sz="4" w:space="0"/>
            </w:tcBorders>
            <w:noWrap/>
            <w:vAlign w:val="center"/>
          </w:tcPr>
          <w:p w14:paraId="55652871">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175</w:t>
            </w:r>
          </w:p>
        </w:tc>
        <w:tc>
          <w:tcPr>
            <w:tcW w:w="825" w:type="dxa"/>
            <w:tcBorders>
              <w:top w:val="nil"/>
              <w:left w:val="nil"/>
              <w:bottom w:val="single" w:color="auto" w:sz="4" w:space="0"/>
              <w:right w:val="single" w:color="auto" w:sz="4" w:space="0"/>
            </w:tcBorders>
            <w:noWrap/>
            <w:vAlign w:val="center"/>
          </w:tcPr>
          <w:p w14:paraId="75C7C60B">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175</w:t>
            </w:r>
          </w:p>
        </w:tc>
        <w:tc>
          <w:tcPr>
            <w:tcW w:w="921" w:type="dxa"/>
            <w:tcBorders>
              <w:top w:val="nil"/>
              <w:left w:val="nil"/>
              <w:bottom w:val="single" w:color="auto" w:sz="4" w:space="0"/>
              <w:right w:val="single" w:color="auto" w:sz="4" w:space="0"/>
            </w:tcBorders>
            <w:noWrap/>
            <w:vAlign w:val="center"/>
          </w:tcPr>
          <w:p w14:paraId="77C44219">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6EB2E7E7">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70431B09">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11351E59">
            <w:pPr>
              <w:jc w:val="center"/>
              <w:rPr>
                <w:rFonts w:ascii="Times New Roman" w:hAnsi="Times New Roman" w:cs="宋体"/>
                <w:color w:val="auto"/>
                <w:kern w:val="0"/>
                <w:sz w:val="18"/>
                <w:szCs w:val="18"/>
              </w:rPr>
            </w:pPr>
          </w:p>
        </w:tc>
        <w:tc>
          <w:tcPr>
            <w:tcW w:w="761" w:type="dxa"/>
            <w:tcBorders>
              <w:top w:val="nil"/>
              <w:left w:val="nil"/>
              <w:bottom w:val="single" w:color="auto" w:sz="4" w:space="0"/>
              <w:right w:val="single" w:color="auto" w:sz="4" w:space="0"/>
            </w:tcBorders>
            <w:noWrap/>
            <w:vAlign w:val="center"/>
          </w:tcPr>
          <w:p w14:paraId="53CF1927">
            <w:pPr>
              <w:jc w:val="center"/>
              <w:rPr>
                <w:rFonts w:ascii="Times New Roman" w:hAnsi="Times New Roman" w:cs="宋体"/>
                <w:color w:val="auto"/>
                <w:kern w:val="0"/>
                <w:sz w:val="18"/>
                <w:szCs w:val="18"/>
              </w:rPr>
            </w:pPr>
          </w:p>
        </w:tc>
        <w:tc>
          <w:tcPr>
            <w:tcW w:w="915" w:type="dxa"/>
            <w:tcBorders>
              <w:top w:val="nil"/>
              <w:left w:val="nil"/>
              <w:bottom w:val="single" w:color="auto" w:sz="4" w:space="0"/>
              <w:right w:val="single" w:color="auto" w:sz="4" w:space="0"/>
            </w:tcBorders>
            <w:noWrap/>
            <w:vAlign w:val="center"/>
          </w:tcPr>
          <w:p w14:paraId="6B3BB528">
            <w:pPr>
              <w:jc w:val="center"/>
              <w:rPr>
                <w:rFonts w:ascii="Times New Roman" w:hAnsi="Times New Roman" w:cs="宋体"/>
                <w:color w:val="auto"/>
                <w:kern w:val="0"/>
                <w:sz w:val="18"/>
                <w:szCs w:val="18"/>
              </w:rPr>
            </w:pPr>
          </w:p>
        </w:tc>
        <w:tc>
          <w:tcPr>
            <w:tcW w:w="2698" w:type="dxa"/>
            <w:tcBorders>
              <w:top w:val="nil"/>
              <w:left w:val="nil"/>
              <w:bottom w:val="single" w:color="auto" w:sz="4" w:space="0"/>
              <w:right w:val="single" w:color="auto" w:sz="4" w:space="0"/>
            </w:tcBorders>
            <w:noWrap/>
            <w:vAlign w:val="center"/>
          </w:tcPr>
          <w:p w14:paraId="117E6953">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四、债务还本支出</w:t>
            </w:r>
          </w:p>
        </w:tc>
        <w:tc>
          <w:tcPr>
            <w:tcW w:w="795" w:type="dxa"/>
            <w:tcBorders>
              <w:top w:val="nil"/>
              <w:left w:val="nil"/>
              <w:bottom w:val="single" w:color="auto" w:sz="4" w:space="0"/>
              <w:right w:val="single" w:color="auto" w:sz="4" w:space="0"/>
            </w:tcBorders>
            <w:noWrap/>
            <w:vAlign w:val="center"/>
          </w:tcPr>
          <w:p w14:paraId="7A05B112">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24579</w:t>
            </w:r>
          </w:p>
        </w:tc>
        <w:tc>
          <w:tcPr>
            <w:tcW w:w="825" w:type="dxa"/>
            <w:tcBorders>
              <w:top w:val="nil"/>
              <w:left w:val="nil"/>
              <w:bottom w:val="single" w:color="auto" w:sz="4" w:space="0"/>
              <w:right w:val="single" w:color="auto" w:sz="4" w:space="0"/>
            </w:tcBorders>
            <w:noWrap/>
            <w:vAlign w:val="center"/>
          </w:tcPr>
          <w:p w14:paraId="48C9657A">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24579</w:t>
            </w:r>
          </w:p>
        </w:tc>
        <w:tc>
          <w:tcPr>
            <w:tcW w:w="921" w:type="dxa"/>
            <w:tcBorders>
              <w:top w:val="nil"/>
              <w:left w:val="nil"/>
              <w:bottom w:val="single" w:color="auto" w:sz="4" w:space="0"/>
              <w:right w:val="single" w:color="auto" w:sz="4" w:space="0"/>
            </w:tcBorders>
            <w:noWrap/>
            <w:vAlign w:val="center"/>
          </w:tcPr>
          <w:p w14:paraId="5F8A89AE">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100.00%</w:t>
            </w:r>
          </w:p>
        </w:tc>
      </w:tr>
      <w:tr w14:paraId="187E7B10">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276CBD65">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7FEB0E17">
            <w:pPr>
              <w:jc w:val="center"/>
              <w:rPr>
                <w:rFonts w:hint="eastAsia" w:ascii="Times New Roman" w:hAnsi="Times New Roman" w:eastAsia="宋体" w:cs="宋体"/>
                <w:color w:val="auto"/>
                <w:kern w:val="0"/>
                <w:sz w:val="18"/>
                <w:szCs w:val="18"/>
                <w:lang w:val="en-US" w:eastAsia="zh-CN"/>
              </w:rPr>
            </w:pPr>
          </w:p>
        </w:tc>
        <w:tc>
          <w:tcPr>
            <w:tcW w:w="761" w:type="dxa"/>
            <w:tcBorders>
              <w:top w:val="nil"/>
              <w:left w:val="nil"/>
              <w:bottom w:val="single" w:color="auto" w:sz="4" w:space="0"/>
              <w:right w:val="single" w:color="auto" w:sz="4" w:space="0"/>
            </w:tcBorders>
            <w:noWrap/>
            <w:vAlign w:val="center"/>
          </w:tcPr>
          <w:p w14:paraId="7DE19D76">
            <w:pPr>
              <w:jc w:val="center"/>
              <w:rPr>
                <w:rFonts w:hint="eastAsia" w:ascii="Times New Roman" w:hAnsi="Times New Roman" w:eastAsia="宋体" w:cs="宋体"/>
                <w:color w:val="auto"/>
                <w:kern w:val="0"/>
                <w:sz w:val="18"/>
                <w:szCs w:val="18"/>
                <w:lang w:val="en-US" w:eastAsia="zh-CN"/>
              </w:rPr>
            </w:pPr>
          </w:p>
        </w:tc>
        <w:tc>
          <w:tcPr>
            <w:tcW w:w="915" w:type="dxa"/>
            <w:tcBorders>
              <w:top w:val="nil"/>
              <w:left w:val="nil"/>
              <w:bottom w:val="single" w:color="auto" w:sz="4" w:space="0"/>
              <w:right w:val="single" w:color="auto" w:sz="4" w:space="0"/>
            </w:tcBorders>
            <w:noWrap/>
            <w:vAlign w:val="center"/>
          </w:tcPr>
          <w:p w14:paraId="34D3862B">
            <w:pPr>
              <w:jc w:val="center"/>
              <w:rPr>
                <w:rFonts w:hint="eastAsia" w:ascii="Times New Roman" w:hAnsi="Times New Roman" w:eastAsia="宋体" w:cs="宋体"/>
                <w:color w:val="auto"/>
                <w:kern w:val="0"/>
                <w:sz w:val="18"/>
                <w:szCs w:val="18"/>
                <w:lang w:val="en-US" w:eastAsia="zh-CN"/>
              </w:rPr>
            </w:pPr>
          </w:p>
        </w:tc>
        <w:tc>
          <w:tcPr>
            <w:tcW w:w="2698" w:type="dxa"/>
            <w:tcBorders>
              <w:top w:val="nil"/>
              <w:left w:val="nil"/>
              <w:bottom w:val="single" w:color="auto" w:sz="4" w:space="0"/>
              <w:right w:val="single" w:color="auto" w:sz="4" w:space="0"/>
            </w:tcBorders>
            <w:noWrap/>
            <w:vAlign w:val="center"/>
          </w:tcPr>
          <w:p w14:paraId="077B95BB">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五、待偿债再融资一般债券结余</w:t>
            </w:r>
          </w:p>
        </w:tc>
        <w:tc>
          <w:tcPr>
            <w:tcW w:w="795" w:type="dxa"/>
            <w:tcBorders>
              <w:top w:val="nil"/>
              <w:left w:val="nil"/>
              <w:bottom w:val="single" w:color="auto" w:sz="4" w:space="0"/>
              <w:right w:val="single" w:color="auto" w:sz="4" w:space="0"/>
            </w:tcBorders>
            <w:noWrap/>
            <w:vAlign w:val="center"/>
          </w:tcPr>
          <w:p w14:paraId="541C8E25">
            <w:pPr>
              <w:jc w:val="center"/>
              <w:rPr>
                <w:rFonts w:hint="eastAsia" w:ascii="Times New Roman" w:hAnsi="Times New Roman" w:eastAsia="宋体" w:cs="宋体"/>
                <w:color w:val="auto"/>
                <w:kern w:val="0"/>
                <w:sz w:val="18"/>
                <w:szCs w:val="18"/>
                <w:lang w:val="en-US" w:eastAsia="zh-CN"/>
              </w:rPr>
            </w:pPr>
          </w:p>
        </w:tc>
        <w:tc>
          <w:tcPr>
            <w:tcW w:w="825" w:type="dxa"/>
            <w:tcBorders>
              <w:top w:val="nil"/>
              <w:left w:val="nil"/>
              <w:bottom w:val="single" w:color="auto" w:sz="4" w:space="0"/>
              <w:right w:val="single" w:color="auto" w:sz="4" w:space="0"/>
            </w:tcBorders>
            <w:noWrap/>
            <w:vAlign w:val="center"/>
          </w:tcPr>
          <w:p w14:paraId="56DD33C2">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10200</w:t>
            </w:r>
          </w:p>
        </w:tc>
        <w:tc>
          <w:tcPr>
            <w:tcW w:w="921" w:type="dxa"/>
            <w:tcBorders>
              <w:top w:val="nil"/>
              <w:left w:val="nil"/>
              <w:bottom w:val="single" w:color="auto" w:sz="4" w:space="0"/>
              <w:right w:val="single" w:color="auto" w:sz="4" w:space="0"/>
            </w:tcBorders>
            <w:noWrap/>
            <w:vAlign w:val="center"/>
          </w:tcPr>
          <w:p w14:paraId="58056FAF">
            <w:pPr>
              <w:jc w:val="center"/>
              <w:rPr>
                <w:rFonts w:hint="default" w:ascii="Times New Roman" w:hAnsi="Times New Roman" w:eastAsia="宋体" w:cs="宋体"/>
                <w:color w:val="auto"/>
                <w:kern w:val="0"/>
                <w:sz w:val="18"/>
                <w:szCs w:val="18"/>
                <w:lang w:val="en-US" w:eastAsia="zh-CN"/>
              </w:rPr>
            </w:pPr>
          </w:p>
        </w:tc>
      </w:tr>
      <w:tr w14:paraId="30AD2619">
        <w:tblPrEx>
          <w:tblCellMar>
            <w:top w:w="0" w:type="dxa"/>
            <w:left w:w="108" w:type="dxa"/>
            <w:bottom w:w="0" w:type="dxa"/>
            <w:right w:w="108" w:type="dxa"/>
          </w:tblCellMar>
        </w:tblPrEx>
        <w:trPr>
          <w:cantSplit/>
          <w:trHeight w:val="417" w:hRule="atLeast"/>
          <w:jc w:val="center"/>
        </w:trPr>
        <w:tc>
          <w:tcPr>
            <w:tcW w:w="2355" w:type="dxa"/>
            <w:tcBorders>
              <w:top w:val="nil"/>
              <w:left w:val="single" w:color="auto" w:sz="4" w:space="0"/>
              <w:bottom w:val="single" w:color="auto" w:sz="4" w:space="0"/>
              <w:right w:val="single" w:color="auto" w:sz="4" w:space="0"/>
            </w:tcBorders>
            <w:noWrap/>
            <w:vAlign w:val="center"/>
          </w:tcPr>
          <w:p w14:paraId="3EABB56E">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收入合计</w:t>
            </w:r>
          </w:p>
        </w:tc>
        <w:tc>
          <w:tcPr>
            <w:tcW w:w="756" w:type="dxa"/>
            <w:tcBorders>
              <w:top w:val="nil"/>
              <w:left w:val="nil"/>
              <w:bottom w:val="single" w:color="auto" w:sz="4" w:space="0"/>
              <w:right w:val="single" w:color="auto" w:sz="4" w:space="0"/>
            </w:tcBorders>
            <w:noWrap/>
            <w:vAlign w:val="center"/>
          </w:tcPr>
          <w:p w14:paraId="7977F5FC">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487013</w:t>
            </w:r>
          </w:p>
        </w:tc>
        <w:tc>
          <w:tcPr>
            <w:tcW w:w="761" w:type="dxa"/>
            <w:tcBorders>
              <w:top w:val="nil"/>
              <w:left w:val="nil"/>
              <w:bottom w:val="single" w:color="auto" w:sz="4" w:space="0"/>
              <w:right w:val="single" w:color="auto" w:sz="4" w:space="0"/>
            </w:tcBorders>
            <w:noWrap/>
            <w:vAlign w:val="center"/>
          </w:tcPr>
          <w:p w14:paraId="6A61400D">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474859</w:t>
            </w:r>
          </w:p>
        </w:tc>
        <w:tc>
          <w:tcPr>
            <w:tcW w:w="915" w:type="dxa"/>
            <w:tcBorders>
              <w:top w:val="nil"/>
              <w:left w:val="nil"/>
              <w:bottom w:val="single" w:color="auto" w:sz="4" w:space="0"/>
              <w:right w:val="single" w:color="auto" w:sz="4" w:space="0"/>
            </w:tcBorders>
            <w:noWrap/>
            <w:vAlign w:val="center"/>
          </w:tcPr>
          <w:p w14:paraId="203A8CAE">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97.50%</w:t>
            </w:r>
          </w:p>
        </w:tc>
        <w:tc>
          <w:tcPr>
            <w:tcW w:w="2698" w:type="dxa"/>
            <w:tcBorders>
              <w:top w:val="nil"/>
              <w:left w:val="nil"/>
              <w:bottom w:val="single" w:color="auto" w:sz="4" w:space="0"/>
              <w:right w:val="single" w:color="auto" w:sz="4" w:space="0"/>
            </w:tcBorders>
            <w:noWrap/>
            <w:vAlign w:val="center"/>
          </w:tcPr>
          <w:p w14:paraId="29BD0E9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支出合计</w:t>
            </w:r>
          </w:p>
        </w:tc>
        <w:tc>
          <w:tcPr>
            <w:tcW w:w="795" w:type="dxa"/>
            <w:tcBorders>
              <w:top w:val="nil"/>
              <w:left w:val="nil"/>
              <w:bottom w:val="single" w:color="auto" w:sz="4" w:space="0"/>
              <w:right w:val="single" w:color="auto" w:sz="4" w:space="0"/>
            </w:tcBorders>
            <w:noWrap/>
            <w:vAlign w:val="center"/>
          </w:tcPr>
          <w:p w14:paraId="25477FD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463883</w:t>
            </w:r>
          </w:p>
        </w:tc>
        <w:tc>
          <w:tcPr>
            <w:tcW w:w="825" w:type="dxa"/>
            <w:tcBorders>
              <w:top w:val="nil"/>
              <w:left w:val="nil"/>
              <w:bottom w:val="single" w:color="auto" w:sz="4" w:space="0"/>
              <w:right w:val="single" w:color="auto" w:sz="4" w:space="0"/>
            </w:tcBorders>
            <w:noWrap/>
            <w:vAlign w:val="center"/>
          </w:tcPr>
          <w:p w14:paraId="1546DDA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474322</w:t>
            </w:r>
          </w:p>
        </w:tc>
        <w:tc>
          <w:tcPr>
            <w:tcW w:w="921" w:type="dxa"/>
            <w:tcBorders>
              <w:top w:val="nil"/>
              <w:left w:val="nil"/>
              <w:bottom w:val="single" w:color="auto" w:sz="4" w:space="0"/>
              <w:right w:val="single" w:color="auto" w:sz="4" w:space="0"/>
            </w:tcBorders>
            <w:noWrap/>
            <w:vAlign w:val="center"/>
          </w:tcPr>
          <w:p w14:paraId="6764D346">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102.25%</w:t>
            </w:r>
          </w:p>
        </w:tc>
      </w:tr>
      <w:tr w14:paraId="389AD262">
        <w:tblPrEx>
          <w:tblCellMar>
            <w:top w:w="0" w:type="dxa"/>
            <w:left w:w="108" w:type="dxa"/>
            <w:bottom w:w="0" w:type="dxa"/>
            <w:right w:w="108" w:type="dxa"/>
          </w:tblCellMar>
        </w:tblPrEx>
        <w:trPr>
          <w:cantSplit/>
          <w:trHeight w:val="369" w:hRule="atLeast"/>
          <w:jc w:val="center"/>
        </w:trPr>
        <w:tc>
          <w:tcPr>
            <w:tcW w:w="2355" w:type="dxa"/>
            <w:tcBorders>
              <w:top w:val="nil"/>
              <w:left w:val="single" w:color="auto" w:sz="4" w:space="0"/>
              <w:bottom w:val="single" w:color="auto" w:sz="4" w:space="0"/>
              <w:right w:val="single" w:color="auto" w:sz="4" w:space="0"/>
            </w:tcBorders>
            <w:noWrap/>
            <w:vAlign w:val="center"/>
          </w:tcPr>
          <w:p w14:paraId="29104559">
            <w:pPr>
              <w:jc w:val="left"/>
              <w:rPr>
                <w:rFonts w:ascii="Times New Roman" w:hAnsi="Times New Roman" w:cs="宋体"/>
                <w:color w:val="auto"/>
                <w:kern w:val="0"/>
                <w:sz w:val="18"/>
                <w:szCs w:val="18"/>
              </w:rPr>
            </w:pPr>
          </w:p>
        </w:tc>
        <w:tc>
          <w:tcPr>
            <w:tcW w:w="756" w:type="dxa"/>
            <w:tcBorders>
              <w:top w:val="nil"/>
              <w:left w:val="nil"/>
              <w:bottom w:val="single" w:color="auto" w:sz="4" w:space="0"/>
              <w:right w:val="single" w:color="auto" w:sz="4" w:space="0"/>
            </w:tcBorders>
            <w:noWrap/>
            <w:vAlign w:val="center"/>
          </w:tcPr>
          <w:p w14:paraId="4818D7C2">
            <w:pPr>
              <w:jc w:val="right"/>
              <w:rPr>
                <w:rFonts w:hint="eastAsia" w:ascii="Times New Roman" w:hAnsi="Times New Roman" w:eastAsia="宋体" w:cs="宋体"/>
                <w:color w:val="auto"/>
                <w:kern w:val="0"/>
                <w:sz w:val="18"/>
                <w:szCs w:val="18"/>
                <w:lang w:val="en-US" w:eastAsia="zh-CN"/>
              </w:rPr>
            </w:pPr>
          </w:p>
        </w:tc>
        <w:tc>
          <w:tcPr>
            <w:tcW w:w="761" w:type="dxa"/>
            <w:tcBorders>
              <w:top w:val="nil"/>
              <w:left w:val="nil"/>
              <w:bottom w:val="single" w:color="auto" w:sz="4" w:space="0"/>
              <w:right w:val="single" w:color="auto" w:sz="4" w:space="0"/>
            </w:tcBorders>
            <w:noWrap/>
            <w:vAlign w:val="center"/>
          </w:tcPr>
          <w:p w14:paraId="12357CCD">
            <w:pPr>
              <w:jc w:val="right"/>
              <w:rPr>
                <w:rFonts w:hint="eastAsia" w:ascii="Times New Roman" w:hAnsi="Times New Roman" w:eastAsia="宋体" w:cs="宋体"/>
                <w:color w:val="auto"/>
                <w:kern w:val="0"/>
                <w:sz w:val="18"/>
                <w:szCs w:val="18"/>
                <w:lang w:val="en-US" w:eastAsia="zh-CN"/>
              </w:rPr>
            </w:pPr>
          </w:p>
        </w:tc>
        <w:tc>
          <w:tcPr>
            <w:tcW w:w="915" w:type="dxa"/>
            <w:tcBorders>
              <w:top w:val="nil"/>
              <w:left w:val="nil"/>
              <w:bottom w:val="single" w:color="auto" w:sz="4" w:space="0"/>
              <w:right w:val="single" w:color="auto" w:sz="4" w:space="0"/>
            </w:tcBorders>
            <w:noWrap/>
            <w:vAlign w:val="center"/>
          </w:tcPr>
          <w:p w14:paraId="14E8780B">
            <w:pPr>
              <w:jc w:val="right"/>
              <w:rPr>
                <w:rFonts w:hint="eastAsia" w:ascii="Times New Roman" w:hAnsi="Times New Roman" w:eastAsia="宋体" w:cs="宋体"/>
                <w:color w:val="auto"/>
                <w:kern w:val="0"/>
                <w:sz w:val="18"/>
                <w:szCs w:val="18"/>
                <w:lang w:val="en-US" w:eastAsia="zh-CN"/>
              </w:rPr>
            </w:pPr>
          </w:p>
        </w:tc>
        <w:tc>
          <w:tcPr>
            <w:tcW w:w="2698" w:type="dxa"/>
            <w:tcBorders>
              <w:top w:val="nil"/>
              <w:left w:val="nil"/>
              <w:bottom w:val="single" w:color="auto" w:sz="4" w:space="0"/>
              <w:right w:val="single" w:color="auto" w:sz="4" w:space="0"/>
            </w:tcBorders>
            <w:noWrap/>
            <w:vAlign w:val="center"/>
          </w:tcPr>
          <w:p w14:paraId="17D505B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结转下年</w:t>
            </w:r>
          </w:p>
        </w:tc>
        <w:tc>
          <w:tcPr>
            <w:tcW w:w="795" w:type="dxa"/>
            <w:tcBorders>
              <w:top w:val="nil"/>
              <w:left w:val="nil"/>
              <w:bottom w:val="single" w:color="auto" w:sz="4" w:space="0"/>
              <w:right w:val="single" w:color="auto" w:sz="4" w:space="0"/>
            </w:tcBorders>
            <w:noWrap/>
            <w:vAlign w:val="center"/>
          </w:tcPr>
          <w:p w14:paraId="7F64058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23130</w:t>
            </w:r>
          </w:p>
        </w:tc>
        <w:tc>
          <w:tcPr>
            <w:tcW w:w="825" w:type="dxa"/>
            <w:tcBorders>
              <w:top w:val="nil"/>
              <w:left w:val="nil"/>
              <w:bottom w:val="single" w:color="auto" w:sz="4" w:space="0"/>
              <w:right w:val="single" w:color="auto" w:sz="4" w:space="0"/>
            </w:tcBorders>
            <w:noWrap/>
            <w:vAlign w:val="center"/>
          </w:tcPr>
          <w:p w14:paraId="46778F3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537</w:t>
            </w:r>
          </w:p>
        </w:tc>
        <w:tc>
          <w:tcPr>
            <w:tcW w:w="921" w:type="dxa"/>
            <w:tcBorders>
              <w:top w:val="nil"/>
              <w:left w:val="nil"/>
              <w:bottom w:val="single" w:color="auto" w:sz="4" w:space="0"/>
              <w:right w:val="single" w:color="auto" w:sz="4" w:space="0"/>
            </w:tcBorders>
            <w:noWrap/>
            <w:vAlign w:val="center"/>
          </w:tcPr>
          <w:p w14:paraId="1B9247DF">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2.32%</w:t>
            </w:r>
          </w:p>
        </w:tc>
      </w:tr>
    </w:tbl>
    <w:p w14:paraId="13A745BF">
      <w:pPr>
        <w:rPr>
          <w:rFonts w:hint="eastAsia" w:ascii="黑体" w:hAnsi="黑体" w:eastAsia="黑体" w:cs="黑体"/>
          <w:sz w:val="32"/>
          <w:szCs w:val="32"/>
        </w:rPr>
        <w:sectPr>
          <w:pgSz w:w="11906" w:h="16838"/>
          <w:pgMar w:top="2098" w:right="1474" w:bottom="1984" w:left="1587" w:header="851" w:footer="992" w:gutter="0"/>
          <w:pgNumType w:fmt="numberInDash"/>
          <w:cols w:space="425" w:num="1"/>
          <w:docGrid w:type="lines" w:linePitch="312" w:charSpace="0"/>
        </w:sectPr>
      </w:pPr>
    </w:p>
    <w:p w14:paraId="698E801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2-02</w:t>
      </w:r>
    </w:p>
    <w:p w14:paraId="2683C02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秭归县</w:t>
      </w:r>
      <w:r>
        <w:rPr>
          <w:rFonts w:hint="eastAsia" w:ascii="方正小标宋简体" w:hAnsi="方正小标宋简体" w:eastAsia="方正小标宋简体" w:cs="方正小标宋简体"/>
          <w:sz w:val="44"/>
          <w:szCs w:val="44"/>
          <w:lang w:val="en-US" w:eastAsia="zh-CN"/>
        </w:rPr>
        <w:t>2024</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政府性基金</w:t>
      </w:r>
      <w:r>
        <w:rPr>
          <w:rFonts w:hint="eastAsia" w:ascii="方正小标宋简体" w:hAnsi="方正小标宋简体" w:eastAsia="方正小标宋简体" w:cs="方正小标宋简体"/>
          <w:sz w:val="44"/>
          <w:szCs w:val="44"/>
        </w:rPr>
        <w:t>预算决算表</w:t>
      </w:r>
    </w:p>
    <w:p w14:paraId="63AE7E61">
      <w:pPr>
        <w:jc w:val="right"/>
        <w:rPr>
          <w:rFonts w:hint="eastAsia"/>
          <w:sz w:val="24"/>
          <w:szCs w:val="24"/>
        </w:rPr>
      </w:pPr>
      <w:r>
        <w:rPr>
          <w:rFonts w:hint="eastAsia"/>
        </w:rPr>
        <w:t xml:space="preserve">                                                          </w:t>
      </w:r>
      <w:r>
        <w:rPr>
          <w:rFonts w:hint="eastAsia"/>
          <w:sz w:val="24"/>
          <w:szCs w:val="24"/>
          <w:lang w:val="en-US" w:eastAsia="zh-CN"/>
        </w:rPr>
        <w:t xml:space="preserve"> </w:t>
      </w:r>
      <w:r>
        <w:rPr>
          <w:rFonts w:hint="eastAsia"/>
          <w:sz w:val="24"/>
          <w:szCs w:val="24"/>
        </w:rPr>
        <w:t>单位：万元</w:t>
      </w:r>
    </w:p>
    <w:tbl>
      <w:tblPr>
        <w:tblStyle w:val="8"/>
        <w:tblW w:w="12481" w:type="dxa"/>
        <w:jc w:val="center"/>
        <w:tblLayout w:type="fixed"/>
        <w:tblCellMar>
          <w:top w:w="0" w:type="dxa"/>
          <w:left w:w="108" w:type="dxa"/>
          <w:bottom w:w="0" w:type="dxa"/>
          <w:right w:w="108" w:type="dxa"/>
        </w:tblCellMar>
      </w:tblPr>
      <w:tblGrid>
        <w:gridCol w:w="3218"/>
        <w:gridCol w:w="966"/>
        <w:gridCol w:w="966"/>
        <w:gridCol w:w="966"/>
        <w:gridCol w:w="3218"/>
        <w:gridCol w:w="966"/>
        <w:gridCol w:w="1151"/>
        <w:gridCol w:w="1030"/>
      </w:tblGrid>
      <w:tr w14:paraId="615B38C5">
        <w:tblPrEx>
          <w:tblCellMar>
            <w:top w:w="0" w:type="dxa"/>
            <w:left w:w="108" w:type="dxa"/>
            <w:bottom w:w="0" w:type="dxa"/>
            <w:right w:w="108" w:type="dxa"/>
          </w:tblCellMar>
        </w:tblPrEx>
        <w:trPr>
          <w:trHeight w:val="397" w:hRule="atLeast"/>
          <w:jc w:val="center"/>
        </w:trPr>
        <w:tc>
          <w:tcPr>
            <w:tcW w:w="6116" w:type="dxa"/>
            <w:gridSpan w:val="4"/>
            <w:tcBorders>
              <w:top w:val="single" w:color="auto" w:sz="8" w:space="0"/>
              <w:left w:val="single" w:color="auto" w:sz="8" w:space="0"/>
              <w:bottom w:val="single" w:color="auto" w:sz="8" w:space="0"/>
              <w:right w:val="single" w:color="000000" w:sz="8" w:space="0"/>
            </w:tcBorders>
            <w:noWrap/>
            <w:vAlign w:val="center"/>
          </w:tcPr>
          <w:p w14:paraId="7AB13F6F">
            <w:pPr>
              <w:widowControl/>
              <w:jc w:val="center"/>
              <w:rPr>
                <w:rFonts w:ascii="Times New Roman" w:hAnsi="Times New Roman" w:cs="宋体"/>
                <w:b/>
                <w:bCs/>
                <w:color w:val="auto"/>
                <w:kern w:val="0"/>
                <w:sz w:val="24"/>
                <w:szCs w:val="24"/>
              </w:rPr>
            </w:pPr>
            <w:r>
              <w:rPr>
                <w:rFonts w:hint="eastAsia" w:ascii="Times New Roman" w:hAnsi="Times New Roman" w:cs="宋体"/>
                <w:b/>
                <w:bCs/>
                <w:color w:val="auto"/>
                <w:kern w:val="0"/>
                <w:sz w:val="24"/>
                <w:szCs w:val="24"/>
              </w:rPr>
              <w:t>收     入</w:t>
            </w:r>
          </w:p>
        </w:tc>
        <w:tc>
          <w:tcPr>
            <w:tcW w:w="6365" w:type="dxa"/>
            <w:gridSpan w:val="4"/>
            <w:tcBorders>
              <w:top w:val="single" w:color="auto" w:sz="8" w:space="0"/>
              <w:left w:val="nil"/>
              <w:bottom w:val="single" w:color="auto" w:sz="8" w:space="0"/>
              <w:right w:val="single" w:color="000000" w:sz="8" w:space="0"/>
            </w:tcBorders>
            <w:noWrap/>
            <w:vAlign w:val="center"/>
          </w:tcPr>
          <w:p w14:paraId="274F7906">
            <w:pPr>
              <w:widowControl/>
              <w:jc w:val="center"/>
              <w:rPr>
                <w:rFonts w:ascii="Times New Roman" w:hAnsi="Times New Roman" w:cs="宋体"/>
                <w:b/>
                <w:bCs/>
                <w:color w:val="auto"/>
                <w:kern w:val="0"/>
                <w:sz w:val="24"/>
                <w:szCs w:val="24"/>
              </w:rPr>
            </w:pPr>
            <w:r>
              <w:rPr>
                <w:rFonts w:hint="eastAsia" w:ascii="Times New Roman" w:hAnsi="Times New Roman" w:cs="宋体"/>
                <w:b/>
                <w:bCs/>
                <w:color w:val="auto"/>
                <w:kern w:val="0"/>
                <w:sz w:val="24"/>
                <w:szCs w:val="24"/>
              </w:rPr>
              <w:t>支      出</w:t>
            </w:r>
          </w:p>
        </w:tc>
      </w:tr>
      <w:tr w14:paraId="2BD8B87F">
        <w:tblPrEx>
          <w:tblCellMar>
            <w:top w:w="0" w:type="dxa"/>
            <w:left w:w="108" w:type="dxa"/>
            <w:bottom w:w="0" w:type="dxa"/>
            <w:right w:w="108" w:type="dxa"/>
          </w:tblCellMar>
        </w:tblPrEx>
        <w:trPr>
          <w:trHeight w:val="794" w:hRule="atLeast"/>
          <w:jc w:val="center"/>
        </w:trPr>
        <w:tc>
          <w:tcPr>
            <w:tcW w:w="3218" w:type="dxa"/>
            <w:tcBorders>
              <w:top w:val="nil"/>
              <w:left w:val="single" w:color="auto" w:sz="8" w:space="0"/>
              <w:bottom w:val="single" w:color="auto" w:sz="8" w:space="0"/>
              <w:right w:val="single" w:color="auto" w:sz="8" w:space="0"/>
            </w:tcBorders>
            <w:noWrap w:val="0"/>
            <w:vAlign w:val="center"/>
          </w:tcPr>
          <w:p w14:paraId="24BE664E">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项    目</w:t>
            </w:r>
          </w:p>
        </w:tc>
        <w:tc>
          <w:tcPr>
            <w:tcW w:w="966" w:type="dxa"/>
            <w:tcBorders>
              <w:top w:val="nil"/>
              <w:left w:val="nil"/>
              <w:bottom w:val="single" w:color="auto" w:sz="8" w:space="0"/>
              <w:right w:val="single" w:color="auto" w:sz="8" w:space="0"/>
            </w:tcBorders>
            <w:noWrap w:val="0"/>
            <w:vAlign w:val="center"/>
          </w:tcPr>
          <w:p w14:paraId="18E061E0">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lang w:eastAsia="zh-CN"/>
              </w:rPr>
              <w:t>执行数</w:t>
            </w:r>
          </w:p>
        </w:tc>
        <w:tc>
          <w:tcPr>
            <w:tcW w:w="966" w:type="dxa"/>
            <w:tcBorders>
              <w:top w:val="nil"/>
              <w:left w:val="nil"/>
              <w:bottom w:val="single" w:color="auto" w:sz="8" w:space="0"/>
              <w:right w:val="single" w:color="auto" w:sz="8" w:space="0"/>
            </w:tcBorders>
            <w:noWrap w:val="0"/>
            <w:vAlign w:val="center"/>
          </w:tcPr>
          <w:p w14:paraId="47C08DAB">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决算数</w:t>
            </w:r>
          </w:p>
        </w:tc>
        <w:tc>
          <w:tcPr>
            <w:tcW w:w="966" w:type="dxa"/>
            <w:tcBorders>
              <w:top w:val="nil"/>
              <w:left w:val="nil"/>
              <w:bottom w:val="single" w:color="auto" w:sz="8" w:space="0"/>
              <w:right w:val="single" w:color="auto" w:sz="8" w:space="0"/>
            </w:tcBorders>
            <w:noWrap w:val="0"/>
            <w:vAlign w:val="center"/>
          </w:tcPr>
          <w:p w14:paraId="5821BABF">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占</w:t>
            </w:r>
            <w:r>
              <w:rPr>
                <w:rFonts w:hint="eastAsia" w:ascii="Times New Roman" w:hAnsi="Times New Roman" w:cs="宋体"/>
                <w:color w:val="auto"/>
                <w:kern w:val="0"/>
                <w:sz w:val="18"/>
                <w:szCs w:val="18"/>
                <w:lang w:eastAsia="zh-CN"/>
              </w:rPr>
              <w:t>执行数</w:t>
            </w:r>
            <w:r>
              <w:rPr>
                <w:rFonts w:hint="eastAsia" w:ascii="Times New Roman" w:hAnsi="Times New Roman" w:cs="宋体"/>
                <w:color w:val="auto"/>
                <w:kern w:val="0"/>
                <w:sz w:val="18"/>
                <w:szCs w:val="18"/>
              </w:rPr>
              <w:t>%</w:t>
            </w:r>
          </w:p>
        </w:tc>
        <w:tc>
          <w:tcPr>
            <w:tcW w:w="3218" w:type="dxa"/>
            <w:tcBorders>
              <w:top w:val="nil"/>
              <w:left w:val="nil"/>
              <w:bottom w:val="single" w:color="auto" w:sz="8" w:space="0"/>
              <w:right w:val="single" w:color="auto" w:sz="8" w:space="0"/>
            </w:tcBorders>
            <w:noWrap w:val="0"/>
            <w:vAlign w:val="center"/>
          </w:tcPr>
          <w:p w14:paraId="4E799880">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 xml:space="preserve">项  </w:t>
            </w:r>
            <w:r>
              <w:rPr>
                <w:rFonts w:ascii="Times New Roman" w:hAnsi="Times New Roman" w:cs="宋体"/>
                <w:color w:val="auto"/>
                <w:kern w:val="0"/>
                <w:sz w:val="18"/>
                <w:szCs w:val="18"/>
              </w:rPr>
              <w:t xml:space="preserve"> </w:t>
            </w:r>
            <w:r>
              <w:rPr>
                <w:rFonts w:hint="eastAsia" w:ascii="Times New Roman" w:hAnsi="Times New Roman" w:cs="宋体"/>
                <w:color w:val="auto"/>
                <w:kern w:val="0"/>
                <w:sz w:val="18"/>
                <w:szCs w:val="18"/>
              </w:rPr>
              <w:t xml:space="preserve"> 目</w:t>
            </w:r>
          </w:p>
        </w:tc>
        <w:tc>
          <w:tcPr>
            <w:tcW w:w="966" w:type="dxa"/>
            <w:tcBorders>
              <w:top w:val="nil"/>
              <w:left w:val="nil"/>
              <w:bottom w:val="single" w:color="auto" w:sz="8" w:space="0"/>
              <w:right w:val="single" w:color="auto" w:sz="8" w:space="0"/>
            </w:tcBorders>
            <w:noWrap w:val="0"/>
            <w:vAlign w:val="center"/>
          </w:tcPr>
          <w:p w14:paraId="17CFD0FC">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lang w:eastAsia="zh-CN"/>
              </w:rPr>
              <w:t>执行数</w:t>
            </w:r>
          </w:p>
        </w:tc>
        <w:tc>
          <w:tcPr>
            <w:tcW w:w="1151" w:type="dxa"/>
            <w:tcBorders>
              <w:top w:val="nil"/>
              <w:left w:val="nil"/>
              <w:bottom w:val="single" w:color="auto" w:sz="8" w:space="0"/>
              <w:right w:val="single" w:color="auto" w:sz="8" w:space="0"/>
            </w:tcBorders>
            <w:noWrap w:val="0"/>
            <w:vAlign w:val="center"/>
          </w:tcPr>
          <w:p w14:paraId="4CA955C0">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决算数</w:t>
            </w:r>
          </w:p>
        </w:tc>
        <w:tc>
          <w:tcPr>
            <w:tcW w:w="1030" w:type="dxa"/>
            <w:tcBorders>
              <w:top w:val="nil"/>
              <w:left w:val="nil"/>
              <w:bottom w:val="single" w:color="auto" w:sz="8" w:space="0"/>
              <w:right w:val="single" w:color="auto" w:sz="8" w:space="0"/>
            </w:tcBorders>
            <w:noWrap w:val="0"/>
            <w:vAlign w:val="center"/>
          </w:tcPr>
          <w:p w14:paraId="331AF37F">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占</w:t>
            </w:r>
            <w:r>
              <w:rPr>
                <w:rFonts w:hint="eastAsia" w:ascii="Times New Roman" w:hAnsi="Times New Roman" w:cs="宋体"/>
                <w:color w:val="auto"/>
                <w:kern w:val="0"/>
                <w:sz w:val="18"/>
                <w:szCs w:val="18"/>
                <w:lang w:eastAsia="zh-CN"/>
              </w:rPr>
              <w:t>执行数</w:t>
            </w:r>
            <w:r>
              <w:rPr>
                <w:rFonts w:hint="eastAsia" w:ascii="Times New Roman" w:hAnsi="Times New Roman" w:cs="宋体"/>
                <w:color w:val="auto"/>
                <w:kern w:val="0"/>
                <w:sz w:val="18"/>
                <w:szCs w:val="18"/>
              </w:rPr>
              <w:t>%</w:t>
            </w:r>
          </w:p>
        </w:tc>
      </w:tr>
      <w:tr w14:paraId="36CA41D7">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4D5E6193">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一、本级收入</w:t>
            </w:r>
          </w:p>
        </w:tc>
        <w:tc>
          <w:tcPr>
            <w:tcW w:w="966" w:type="dxa"/>
            <w:tcBorders>
              <w:top w:val="nil"/>
              <w:left w:val="nil"/>
              <w:bottom w:val="single" w:color="auto" w:sz="8" w:space="0"/>
              <w:right w:val="single" w:color="auto" w:sz="8" w:space="0"/>
            </w:tcBorders>
            <w:noWrap/>
            <w:vAlign w:val="center"/>
          </w:tcPr>
          <w:p w14:paraId="161764BF">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29275</w:t>
            </w:r>
          </w:p>
        </w:tc>
        <w:tc>
          <w:tcPr>
            <w:tcW w:w="966" w:type="dxa"/>
            <w:tcBorders>
              <w:top w:val="nil"/>
              <w:left w:val="nil"/>
              <w:bottom w:val="single" w:color="auto" w:sz="8" w:space="0"/>
              <w:right w:val="single" w:color="auto" w:sz="8" w:space="0"/>
            </w:tcBorders>
            <w:noWrap/>
            <w:vAlign w:val="center"/>
          </w:tcPr>
          <w:p w14:paraId="6A0E5984">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29275</w:t>
            </w:r>
          </w:p>
        </w:tc>
        <w:tc>
          <w:tcPr>
            <w:tcW w:w="966" w:type="dxa"/>
            <w:tcBorders>
              <w:top w:val="nil"/>
              <w:left w:val="nil"/>
              <w:bottom w:val="single" w:color="auto" w:sz="8" w:space="0"/>
              <w:right w:val="single" w:color="auto" w:sz="8" w:space="0"/>
            </w:tcBorders>
            <w:noWrap/>
            <w:vAlign w:val="center"/>
          </w:tcPr>
          <w:p w14:paraId="6A1D85CF">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5565C78E">
            <w:pPr>
              <w:keepNext w:val="0"/>
              <w:keepLines w:val="0"/>
              <w:widowControl/>
              <w:suppressLineNumbers w:val="0"/>
              <w:jc w:val="both"/>
              <w:textAlignment w:val="center"/>
              <w:rPr>
                <w:rFonts w:ascii="Times New Roman" w:hAnsi="Times New Roman"/>
                <w:color w:val="auto"/>
                <w:kern w:val="0"/>
                <w:sz w:val="18"/>
                <w:szCs w:val="18"/>
              </w:rPr>
            </w:pPr>
            <w:r>
              <w:rPr>
                <w:rFonts w:hint="eastAsia" w:ascii="宋体" w:hAnsi="宋体" w:eastAsia="宋体" w:cs="宋体"/>
                <w:i w:val="0"/>
                <w:iCs w:val="0"/>
                <w:color w:val="000000"/>
                <w:kern w:val="0"/>
                <w:sz w:val="18"/>
                <w:szCs w:val="18"/>
                <w:u w:val="none"/>
                <w:lang w:val="en-US" w:eastAsia="zh-CN" w:bidi="ar"/>
              </w:rPr>
              <w:t>一、政府性基金预算支出</w:t>
            </w:r>
          </w:p>
        </w:tc>
        <w:tc>
          <w:tcPr>
            <w:tcW w:w="966" w:type="dxa"/>
            <w:tcBorders>
              <w:top w:val="nil"/>
              <w:left w:val="nil"/>
              <w:bottom w:val="single" w:color="auto" w:sz="8" w:space="0"/>
              <w:right w:val="single" w:color="auto" w:sz="8" w:space="0"/>
            </w:tcBorders>
            <w:noWrap/>
            <w:vAlign w:val="center"/>
          </w:tcPr>
          <w:p w14:paraId="52F8B33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91425</w:t>
            </w:r>
          </w:p>
        </w:tc>
        <w:tc>
          <w:tcPr>
            <w:tcW w:w="1151" w:type="dxa"/>
            <w:tcBorders>
              <w:top w:val="nil"/>
              <w:left w:val="nil"/>
              <w:bottom w:val="single" w:color="auto" w:sz="8" w:space="0"/>
              <w:right w:val="single" w:color="auto" w:sz="8" w:space="0"/>
            </w:tcBorders>
            <w:noWrap/>
            <w:vAlign w:val="center"/>
          </w:tcPr>
          <w:p w14:paraId="55D8372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91425</w:t>
            </w:r>
          </w:p>
        </w:tc>
        <w:tc>
          <w:tcPr>
            <w:tcW w:w="1030" w:type="dxa"/>
            <w:tcBorders>
              <w:top w:val="nil"/>
              <w:left w:val="nil"/>
              <w:bottom w:val="single" w:color="auto" w:sz="8" w:space="0"/>
              <w:right w:val="single" w:color="auto" w:sz="8" w:space="0"/>
            </w:tcBorders>
            <w:noWrap/>
            <w:vAlign w:val="center"/>
          </w:tcPr>
          <w:p w14:paraId="6B568BD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4D392054">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464E14CF">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国有土地收益基金收入</w:t>
            </w:r>
          </w:p>
        </w:tc>
        <w:tc>
          <w:tcPr>
            <w:tcW w:w="966" w:type="dxa"/>
            <w:tcBorders>
              <w:top w:val="nil"/>
              <w:left w:val="nil"/>
              <w:bottom w:val="single" w:color="auto" w:sz="8" w:space="0"/>
              <w:right w:val="single" w:color="auto" w:sz="8" w:space="0"/>
            </w:tcBorders>
            <w:noWrap/>
            <w:vAlign w:val="center"/>
          </w:tcPr>
          <w:p w14:paraId="7F37CBC4">
            <w:pPr>
              <w:jc w:val="center"/>
              <w:rPr>
                <w:rFonts w:hint="eastAsia" w:ascii="Times New Roman" w:hAnsi="Times New Roman" w:eastAsia="宋体" w:cs="宋体"/>
                <w:color w:val="auto"/>
                <w:kern w:val="0"/>
                <w:sz w:val="18"/>
                <w:szCs w:val="18"/>
              </w:rPr>
            </w:pPr>
          </w:p>
        </w:tc>
        <w:tc>
          <w:tcPr>
            <w:tcW w:w="966" w:type="dxa"/>
            <w:tcBorders>
              <w:top w:val="nil"/>
              <w:left w:val="nil"/>
              <w:bottom w:val="single" w:color="auto" w:sz="8" w:space="0"/>
              <w:right w:val="single" w:color="auto" w:sz="8" w:space="0"/>
            </w:tcBorders>
            <w:noWrap/>
            <w:vAlign w:val="center"/>
          </w:tcPr>
          <w:p w14:paraId="2DE0A827">
            <w:pPr>
              <w:jc w:val="center"/>
              <w:rPr>
                <w:rFonts w:hint="eastAsia" w:ascii="Times New Roman" w:hAnsi="Times New Roman" w:eastAsia="宋体" w:cs="宋体"/>
                <w:color w:val="auto"/>
                <w:kern w:val="0"/>
                <w:sz w:val="18"/>
                <w:szCs w:val="18"/>
              </w:rPr>
            </w:pPr>
          </w:p>
        </w:tc>
        <w:tc>
          <w:tcPr>
            <w:tcW w:w="966" w:type="dxa"/>
            <w:tcBorders>
              <w:top w:val="nil"/>
              <w:left w:val="nil"/>
              <w:bottom w:val="single" w:color="auto" w:sz="8" w:space="0"/>
              <w:right w:val="single" w:color="auto" w:sz="8" w:space="0"/>
            </w:tcBorders>
            <w:noWrap/>
            <w:vAlign w:val="center"/>
          </w:tcPr>
          <w:p w14:paraId="2BC96A82">
            <w:pPr>
              <w:jc w:val="center"/>
              <w:rPr>
                <w:rFonts w:hint="eastAsia" w:ascii="Times New Roman" w:hAnsi="Times New Roman" w:eastAsia="宋体" w:cs="宋体"/>
                <w:color w:val="auto"/>
                <w:kern w:val="0"/>
                <w:sz w:val="18"/>
                <w:szCs w:val="18"/>
              </w:rPr>
            </w:pPr>
          </w:p>
        </w:tc>
        <w:tc>
          <w:tcPr>
            <w:tcW w:w="3218" w:type="dxa"/>
            <w:tcBorders>
              <w:top w:val="nil"/>
              <w:left w:val="nil"/>
              <w:bottom w:val="single" w:color="auto" w:sz="8" w:space="0"/>
              <w:right w:val="single" w:color="auto" w:sz="8" w:space="0"/>
            </w:tcBorders>
            <w:noWrap/>
            <w:vAlign w:val="center"/>
          </w:tcPr>
          <w:p w14:paraId="5F1A0E8E">
            <w:pPr>
              <w:keepNext w:val="0"/>
              <w:keepLines w:val="0"/>
              <w:widowControl/>
              <w:suppressLineNumbers w:val="0"/>
              <w:jc w:val="both"/>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207.文化旅游体育与传媒支出</w:t>
            </w:r>
          </w:p>
        </w:tc>
        <w:tc>
          <w:tcPr>
            <w:tcW w:w="966" w:type="dxa"/>
            <w:tcBorders>
              <w:top w:val="nil"/>
              <w:left w:val="nil"/>
              <w:bottom w:val="single" w:color="auto" w:sz="8" w:space="0"/>
              <w:right w:val="single" w:color="auto" w:sz="8" w:space="0"/>
            </w:tcBorders>
            <w:noWrap/>
            <w:vAlign w:val="center"/>
          </w:tcPr>
          <w:p w14:paraId="57CF189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151" w:type="dxa"/>
            <w:tcBorders>
              <w:top w:val="nil"/>
              <w:left w:val="nil"/>
              <w:bottom w:val="single" w:color="auto" w:sz="8" w:space="0"/>
              <w:right w:val="single" w:color="auto" w:sz="8" w:space="0"/>
            </w:tcBorders>
            <w:noWrap/>
            <w:vAlign w:val="center"/>
          </w:tcPr>
          <w:p w14:paraId="4A1E77D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30" w:type="dxa"/>
            <w:tcBorders>
              <w:top w:val="nil"/>
              <w:left w:val="nil"/>
              <w:bottom w:val="single" w:color="auto" w:sz="8" w:space="0"/>
              <w:right w:val="single" w:color="auto" w:sz="8" w:space="0"/>
            </w:tcBorders>
            <w:noWrap/>
            <w:vAlign w:val="center"/>
          </w:tcPr>
          <w:p w14:paraId="73ABE77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01AE2D14">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182784AE">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国有土地使用权出让收入</w:t>
            </w:r>
          </w:p>
        </w:tc>
        <w:tc>
          <w:tcPr>
            <w:tcW w:w="966" w:type="dxa"/>
            <w:tcBorders>
              <w:top w:val="nil"/>
              <w:left w:val="nil"/>
              <w:bottom w:val="single" w:color="auto" w:sz="8" w:space="0"/>
              <w:right w:val="single" w:color="auto" w:sz="8" w:space="0"/>
            </w:tcBorders>
            <w:noWrap/>
            <w:vAlign w:val="center"/>
          </w:tcPr>
          <w:p w14:paraId="20FD83E5">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20046</w:t>
            </w:r>
          </w:p>
        </w:tc>
        <w:tc>
          <w:tcPr>
            <w:tcW w:w="966" w:type="dxa"/>
            <w:tcBorders>
              <w:top w:val="nil"/>
              <w:left w:val="nil"/>
              <w:bottom w:val="single" w:color="auto" w:sz="8" w:space="0"/>
              <w:right w:val="single" w:color="auto" w:sz="8" w:space="0"/>
            </w:tcBorders>
            <w:noWrap/>
            <w:vAlign w:val="center"/>
          </w:tcPr>
          <w:p w14:paraId="75DDB471">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20046</w:t>
            </w:r>
          </w:p>
        </w:tc>
        <w:tc>
          <w:tcPr>
            <w:tcW w:w="966" w:type="dxa"/>
            <w:tcBorders>
              <w:top w:val="nil"/>
              <w:left w:val="nil"/>
              <w:bottom w:val="single" w:color="auto" w:sz="8" w:space="0"/>
              <w:right w:val="single" w:color="auto" w:sz="8" w:space="0"/>
            </w:tcBorders>
            <w:noWrap/>
            <w:vAlign w:val="center"/>
          </w:tcPr>
          <w:p w14:paraId="5A5CD4C7">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29C749F6">
            <w:pPr>
              <w:keepNext w:val="0"/>
              <w:keepLines w:val="0"/>
              <w:widowControl/>
              <w:suppressLineNumbers w:val="0"/>
              <w:jc w:val="both"/>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212.城乡社区支出</w:t>
            </w:r>
          </w:p>
        </w:tc>
        <w:tc>
          <w:tcPr>
            <w:tcW w:w="966" w:type="dxa"/>
            <w:tcBorders>
              <w:top w:val="nil"/>
              <w:left w:val="nil"/>
              <w:bottom w:val="single" w:color="auto" w:sz="8" w:space="0"/>
              <w:right w:val="single" w:color="auto" w:sz="8" w:space="0"/>
            </w:tcBorders>
            <w:noWrap/>
            <w:vAlign w:val="center"/>
          </w:tcPr>
          <w:p w14:paraId="6DAA040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12949</w:t>
            </w:r>
          </w:p>
        </w:tc>
        <w:tc>
          <w:tcPr>
            <w:tcW w:w="1151" w:type="dxa"/>
            <w:tcBorders>
              <w:top w:val="nil"/>
              <w:left w:val="nil"/>
              <w:bottom w:val="single" w:color="auto" w:sz="8" w:space="0"/>
              <w:right w:val="single" w:color="auto" w:sz="8" w:space="0"/>
            </w:tcBorders>
            <w:noWrap/>
            <w:vAlign w:val="center"/>
          </w:tcPr>
          <w:p w14:paraId="737A669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12398</w:t>
            </w:r>
          </w:p>
        </w:tc>
        <w:tc>
          <w:tcPr>
            <w:tcW w:w="1030" w:type="dxa"/>
            <w:tcBorders>
              <w:top w:val="nil"/>
              <w:left w:val="nil"/>
              <w:bottom w:val="single" w:color="auto" w:sz="8" w:space="0"/>
              <w:right w:val="single" w:color="auto" w:sz="8" w:space="0"/>
            </w:tcBorders>
            <w:noWrap/>
            <w:vAlign w:val="center"/>
          </w:tcPr>
          <w:p w14:paraId="677D1EB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95.74%</w:t>
            </w:r>
          </w:p>
        </w:tc>
      </w:tr>
      <w:tr w14:paraId="7B205541">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23CA649C">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城市基础设施配套费收入</w:t>
            </w:r>
          </w:p>
        </w:tc>
        <w:tc>
          <w:tcPr>
            <w:tcW w:w="966" w:type="dxa"/>
            <w:tcBorders>
              <w:top w:val="nil"/>
              <w:left w:val="nil"/>
              <w:bottom w:val="single" w:color="auto" w:sz="8" w:space="0"/>
              <w:right w:val="single" w:color="auto" w:sz="8" w:space="0"/>
            </w:tcBorders>
            <w:noWrap/>
            <w:vAlign w:val="center"/>
          </w:tcPr>
          <w:p w14:paraId="39D7FF76">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889</w:t>
            </w:r>
          </w:p>
        </w:tc>
        <w:tc>
          <w:tcPr>
            <w:tcW w:w="966" w:type="dxa"/>
            <w:tcBorders>
              <w:top w:val="nil"/>
              <w:left w:val="nil"/>
              <w:bottom w:val="single" w:color="auto" w:sz="8" w:space="0"/>
              <w:right w:val="single" w:color="auto" w:sz="8" w:space="0"/>
            </w:tcBorders>
            <w:noWrap/>
            <w:vAlign w:val="center"/>
          </w:tcPr>
          <w:p w14:paraId="50AE98D1">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889</w:t>
            </w:r>
          </w:p>
        </w:tc>
        <w:tc>
          <w:tcPr>
            <w:tcW w:w="966" w:type="dxa"/>
            <w:tcBorders>
              <w:top w:val="nil"/>
              <w:left w:val="nil"/>
              <w:bottom w:val="single" w:color="auto" w:sz="8" w:space="0"/>
              <w:right w:val="single" w:color="auto" w:sz="8" w:space="0"/>
            </w:tcBorders>
            <w:noWrap/>
            <w:vAlign w:val="center"/>
          </w:tcPr>
          <w:p w14:paraId="6C7A23EF">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579E8AD6">
            <w:pPr>
              <w:keepNext w:val="0"/>
              <w:keepLines w:val="0"/>
              <w:widowControl/>
              <w:suppressLineNumbers w:val="0"/>
              <w:jc w:val="both"/>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213.农林水支出</w:t>
            </w:r>
          </w:p>
        </w:tc>
        <w:tc>
          <w:tcPr>
            <w:tcW w:w="966" w:type="dxa"/>
            <w:tcBorders>
              <w:top w:val="nil"/>
              <w:left w:val="nil"/>
              <w:bottom w:val="single" w:color="auto" w:sz="8" w:space="0"/>
              <w:right w:val="single" w:color="auto" w:sz="8" w:space="0"/>
            </w:tcBorders>
            <w:noWrap/>
            <w:vAlign w:val="center"/>
          </w:tcPr>
          <w:p w14:paraId="31E4821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39262</w:t>
            </w:r>
          </w:p>
        </w:tc>
        <w:tc>
          <w:tcPr>
            <w:tcW w:w="1151" w:type="dxa"/>
            <w:tcBorders>
              <w:top w:val="nil"/>
              <w:left w:val="nil"/>
              <w:bottom w:val="single" w:color="auto" w:sz="8" w:space="0"/>
              <w:right w:val="single" w:color="auto" w:sz="8" w:space="0"/>
            </w:tcBorders>
            <w:noWrap/>
            <w:vAlign w:val="center"/>
          </w:tcPr>
          <w:p w14:paraId="1AA30C7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39813</w:t>
            </w:r>
          </w:p>
        </w:tc>
        <w:tc>
          <w:tcPr>
            <w:tcW w:w="1030" w:type="dxa"/>
            <w:tcBorders>
              <w:top w:val="nil"/>
              <w:left w:val="nil"/>
              <w:bottom w:val="single" w:color="auto" w:sz="8" w:space="0"/>
              <w:right w:val="single" w:color="auto" w:sz="8" w:space="0"/>
            </w:tcBorders>
            <w:noWrap/>
            <w:vAlign w:val="center"/>
          </w:tcPr>
          <w:p w14:paraId="13DDF0C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101.40%</w:t>
            </w:r>
          </w:p>
        </w:tc>
      </w:tr>
      <w:tr w14:paraId="5F9CB084">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76F20673">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污水处理费收入</w:t>
            </w:r>
          </w:p>
        </w:tc>
        <w:tc>
          <w:tcPr>
            <w:tcW w:w="966" w:type="dxa"/>
            <w:tcBorders>
              <w:top w:val="nil"/>
              <w:left w:val="nil"/>
              <w:bottom w:val="single" w:color="auto" w:sz="8" w:space="0"/>
              <w:right w:val="single" w:color="auto" w:sz="8" w:space="0"/>
            </w:tcBorders>
            <w:noWrap/>
            <w:vAlign w:val="center"/>
          </w:tcPr>
          <w:p w14:paraId="7DF50D82">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801</w:t>
            </w:r>
          </w:p>
        </w:tc>
        <w:tc>
          <w:tcPr>
            <w:tcW w:w="966" w:type="dxa"/>
            <w:tcBorders>
              <w:top w:val="nil"/>
              <w:left w:val="nil"/>
              <w:bottom w:val="single" w:color="auto" w:sz="8" w:space="0"/>
              <w:right w:val="single" w:color="auto" w:sz="8" w:space="0"/>
            </w:tcBorders>
            <w:noWrap/>
            <w:vAlign w:val="center"/>
          </w:tcPr>
          <w:p w14:paraId="04247A55">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801</w:t>
            </w:r>
          </w:p>
        </w:tc>
        <w:tc>
          <w:tcPr>
            <w:tcW w:w="966" w:type="dxa"/>
            <w:tcBorders>
              <w:top w:val="nil"/>
              <w:left w:val="nil"/>
              <w:bottom w:val="single" w:color="auto" w:sz="8" w:space="0"/>
              <w:right w:val="single" w:color="auto" w:sz="8" w:space="0"/>
            </w:tcBorders>
            <w:noWrap/>
            <w:vAlign w:val="center"/>
          </w:tcPr>
          <w:p w14:paraId="794095BC">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183903A4">
            <w:pPr>
              <w:keepNext w:val="0"/>
              <w:keepLines w:val="0"/>
              <w:widowControl/>
              <w:suppressLineNumbers w:val="0"/>
              <w:jc w:val="both"/>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214.交通运输支出</w:t>
            </w:r>
          </w:p>
        </w:tc>
        <w:tc>
          <w:tcPr>
            <w:tcW w:w="966" w:type="dxa"/>
            <w:tcBorders>
              <w:top w:val="nil"/>
              <w:left w:val="nil"/>
              <w:bottom w:val="single" w:color="auto" w:sz="8" w:space="0"/>
              <w:right w:val="single" w:color="auto" w:sz="8" w:space="0"/>
            </w:tcBorders>
            <w:noWrap/>
            <w:vAlign w:val="center"/>
          </w:tcPr>
          <w:p w14:paraId="6B5221E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1752</w:t>
            </w:r>
          </w:p>
        </w:tc>
        <w:tc>
          <w:tcPr>
            <w:tcW w:w="1151" w:type="dxa"/>
            <w:tcBorders>
              <w:top w:val="nil"/>
              <w:left w:val="nil"/>
              <w:bottom w:val="single" w:color="auto" w:sz="8" w:space="0"/>
              <w:right w:val="single" w:color="auto" w:sz="8" w:space="0"/>
            </w:tcBorders>
            <w:noWrap/>
            <w:vAlign w:val="center"/>
          </w:tcPr>
          <w:p w14:paraId="23BE9FC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1752</w:t>
            </w:r>
          </w:p>
        </w:tc>
        <w:tc>
          <w:tcPr>
            <w:tcW w:w="1030" w:type="dxa"/>
            <w:tcBorders>
              <w:top w:val="nil"/>
              <w:left w:val="nil"/>
              <w:bottom w:val="single" w:color="auto" w:sz="8" w:space="0"/>
              <w:right w:val="single" w:color="auto" w:sz="8" w:space="0"/>
            </w:tcBorders>
            <w:noWrap/>
            <w:vAlign w:val="center"/>
          </w:tcPr>
          <w:p w14:paraId="05F8B87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38CD4387">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1639B2C0">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车辆通行费</w:t>
            </w:r>
          </w:p>
        </w:tc>
        <w:tc>
          <w:tcPr>
            <w:tcW w:w="966" w:type="dxa"/>
            <w:tcBorders>
              <w:top w:val="nil"/>
              <w:left w:val="nil"/>
              <w:bottom w:val="single" w:color="auto" w:sz="8" w:space="0"/>
              <w:right w:val="single" w:color="auto" w:sz="8" w:space="0"/>
            </w:tcBorders>
            <w:noWrap/>
            <w:vAlign w:val="center"/>
          </w:tcPr>
          <w:p w14:paraId="48D5B62B">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1526</w:t>
            </w:r>
          </w:p>
        </w:tc>
        <w:tc>
          <w:tcPr>
            <w:tcW w:w="966" w:type="dxa"/>
            <w:tcBorders>
              <w:top w:val="nil"/>
              <w:left w:val="nil"/>
              <w:bottom w:val="single" w:color="auto" w:sz="8" w:space="0"/>
              <w:right w:val="single" w:color="auto" w:sz="8" w:space="0"/>
            </w:tcBorders>
            <w:noWrap/>
            <w:vAlign w:val="center"/>
          </w:tcPr>
          <w:p w14:paraId="7685BF22">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1526</w:t>
            </w:r>
          </w:p>
        </w:tc>
        <w:tc>
          <w:tcPr>
            <w:tcW w:w="966" w:type="dxa"/>
            <w:tcBorders>
              <w:top w:val="nil"/>
              <w:left w:val="nil"/>
              <w:bottom w:val="single" w:color="auto" w:sz="8" w:space="0"/>
              <w:right w:val="single" w:color="auto" w:sz="8" w:space="0"/>
            </w:tcBorders>
            <w:noWrap/>
            <w:vAlign w:val="center"/>
          </w:tcPr>
          <w:p w14:paraId="69A4F7FB">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43791923">
            <w:pPr>
              <w:keepNext w:val="0"/>
              <w:keepLines w:val="0"/>
              <w:widowControl/>
              <w:suppressLineNumbers w:val="0"/>
              <w:jc w:val="both"/>
              <w:textAlignment w:val="center"/>
              <w:rPr>
                <w:rFonts w:ascii="Times New Roman" w:hAnsi="Times New Roman"/>
                <w:color w:val="auto"/>
                <w:sz w:val="18"/>
                <w:szCs w:val="18"/>
              </w:rPr>
            </w:pPr>
            <w:r>
              <w:rPr>
                <w:rStyle w:val="15"/>
                <w:lang w:val="en-US" w:eastAsia="zh-CN" w:bidi="ar"/>
              </w:rPr>
              <w:t>215.资源勘探工业信息等支出</w:t>
            </w:r>
          </w:p>
        </w:tc>
        <w:tc>
          <w:tcPr>
            <w:tcW w:w="966" w:type="dxa"/>
            <w:tcBorders>
              <w:top w:val="nil"/>
              <w:left w:val="nil"/>
              <w:bottom w:val="single" w:color="auto" w:sz="8" w:space="0"/>
              <w:right w:val="single" w:color="auto" w:sz="8" w:space="0"/>
            </w:tcBorders>
            <w:noWrap/>
            <w:vAlign w:val="center"/>
          </w:tcPr>
          <w:p w14:paraId="15F2049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779</w:t>
            </w:r>
          </w:p>
        </w:tc>
        <w:tc>
          <w:tcPr>
            <w:tcW w:w="1151" w:type="dxa"/>
            <w:tcBorders>
              <w:top w:val="nil"/>
              <w:left w:val="nil"/>
              <w:bottom w:val="single" w:color="auto" w:sz="8" w:space="0"/>
              <w:right w:val="single" w:color="auto" w:sz="8" w:space="0"/>
            </w:tcBorders>
            <w:noWrap/>
            <w:vAlign w:val="center"/>
          </w:tcPr>
          <w:p w14:paraId="023159F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779</w:t>
            </w:r>
          </w:p>
        </w:tc>
        <w:tc>
          <w:tcPr>
            <w:tcW w:w="1030" w:type="dxa"/>
            <w:tcBorders>
              <w:top w:val="nil"/>
              <w:left w:val="nil"/>
              <w:bottom w:val="single" w:color="auto" w:sz="8" w:space="0"/>
              <w:right w:val="single" w:color="auto" w:sz="8" w:space="0"/>
            </w:tcBorders>
            <w:noWrap/>
            <w:vAlign w:val="center"/>
          </w:tcPr>
          <w:p w14:paraId="3294B84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7336A60B">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529BF634">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专项债务对应项目专项收入</w:t>
            </w:r>
          </w:p>
        </w:tc>
        <w:tc>
          <w:tcPr>
            <w:tcW w:w="966" w:type="dxa"/>
            <w:tcBorders>
              <w:top w:val="nil"/>
              <w:left w:val="nil"/>
              <w:bottom w:val="single" w:color="auto" w:sz="8" w:space="0"/>
              <w:right w:val="single" w:color="auto" w:sz="8" w:space="0"/>
            </w:tcBorders>
            <w:noWrap/>
            <w:vAlign w:val="center"/>
          </w:tcPr>
          <w:p w14:paraId="24B751E7">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6013</w:t>
            </w:r>
          </w:p>
        </w:tc>
        <w:tc>
          <w:tcPr>
            <w:tcW w:w="966" w:type="dxa"/>
            <w:tcBorders>
              <w:top w:val="nil"/>
              <w:left w:val="nil"/>
              <w:bottom w:val="single" w:color="auto" w:sz="8" w:space="0"/>
              <w:right w:val="single" w:color="auto" w:sz="8" w:space="0"/>
            </w:tcBorders>
            <w:noWrap/>
            <w:vAlign w:val="center"/>
          </w:tcPr>
          <w:p w14:paraId="2A099EF1">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6013</w:t>
            </w:r>
          </w:p>
        </w:tc>
        <w:tc>
          <w:tcPr>
            <w:tcW w:w="966" w:type="dxa"/>
            <w:tcBorders>
              <w:top w:val="nil"/>
              <w:left w:val="nil"/>
              <w:bottom w:val="single" w:color="auto" w:sz="8" w:space="0"/>
              <w:right w:val="single" w:color="auto" w:sz="8" w:space="0"/>
            </w:tcBorders>
            <w:noWrap/>
            <w:vAlign w:val="center"/>
          </w:tcPr>
          <w:p w14:paraId="34F4CA84">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4CB270C1">
            <w:pPr>
              <w:keepNext w:val="0"/>
              <w:keepLines w:val="0"/>
              <w:widowControl/>
              <w:suppressLineNumbers w:val="0"/>
              <w:jc w:val="both"/>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229.其他支出</w:t>
            </w:r>
          </w:p>
        </w:tc>
        <w:tc>
          <w:tcPr>
            <w:tcW w:w="966" w:type="dxa"/>
            <w:tcBorders>
              <w:top w:val="nil"/>
              <w:left w:val="nil"/>
              <w:bottom w:val="single" w:color="auto" w:sz="8" w:space="0"/>
              <w:right w:val="single" w:color="auto" w:sz="8" w:space="0"/>
            </w:tcBorders>
            <w:noWrap/>
            <w:vAlign w:val="center"/>
          </w:tcPr>
          <w:p w14:paraId="21F23C1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26137</w:t>
            </w:r>
          </w:p>
        </w:tc>
        <w:tc>
          <w:tcPr>
            <w:tcW w:w="1151" w:type="dxa"/>
            <w:tcBorders>
              <w:top w:val="nil"/>
              <w:left w:val="nil"/>
              <w:bottom w:val="single" w:color="auto" w:sz="8" w:space="0"/>
              <w:right w:val="single" w:color="auto" w:sz="8" w:space="0"/>
            </w:tcBorders>
            <w:noWrap/>
            <w:vAlign w:val="center"/>
          </w:tcPr>
          <w:p w14:paraId="5C3D00F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26137</w:t>
            </w:r>
          </w:p>
        </w:tc>
        <w:tc>
          <w:tcPr>
            <w:tcW w:w="1030" w:type="dxa"/>
            <w:tcBorders>
              <w:top w:val="nil"/>
              <w:left w:val="nil"/>
              <w:bottom w:val="single" w:color="auto" w:sz="8" w:space="0"/>
              <w:right w:val="single" w:color="auto" w:sz="8" w:space="0"/>
            </w:tcBorders>
            <w:noWrap/>
            <w:vAlign w:val="center"/>
          </w:tcPr>
          <w:p w14:paraId="0E2BA68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68A09671">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2DD08658">
            <w:pPr>
              <w:keepNext w:val="0"/>
              <w:keepLines w:val="0"/>
              <w:widowControl/>
              <w:suppressLineNumbers w:val="0"/>
              <w:jc w:val="both"/>
              <w:textAlignment w:val="center"/>
              <w:rPr>
                <w:rFonts w:hint="eastAsia"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二、转移支付收入</w:t>
            </w:r>
          </w:p>
        </w:tc>
        <w:tc>
          <w:tcPr>
            <w:tcW w:w="966" w:type="dxa"/>
            <w:tcBorders>
              <w:top w:val="nil"/>
              <w:left w:val="nil"/>
              <w:bottom w:val="single" w:color="auto" w:sz="8" w:space="0"/>
              <w:right w:val="single" w:color="auto" w:sz="8" w:space="0"/>
            </w:tcBorders>
            <w:noWrap/>
            <w:vAlign w:val="center"/>
          </w:tcPr>
          <w:p w14:paraId="0DBFF90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79961</w:t>
            </w:r>
          </w:p>
        </w:tc>
        <w:tc>
          <w:tcPr>
            <w:tcW w:w="966" w:type="dxa"/>
            <w:tcBorders>
              <w:top w:val="nil"/>
              <w:left w:val="nil"/>
              <w:bottom w:val="single" w:color="auto" w:sz="8" w:space="0"/>
              <w:right w:val="single" w:color="auto" w:sz="8" w:space="0"/>
            </w:tcBorders>
            <w:noWrap/>
            <w:vAlign w:val="center"/>
          </w:tcPr>
          <w:p w14:paraId="505656F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79961</w:t>
            </w:r>
          </w:p>
        </w:tc>
        <w:tc>
          <w:tcPr>
            <w:tcW w:w="966" w:type="dxa"/>
            <w:tcBorders>
              <w:top w:val="nil"/>
              <w:left w:val="nil"/>
              <w:bottom w:val="single" w:color="auto" w:sz="8" w:space="0"/>
              <w:right w:val="single" w:color="auto" w:sz="8" w:space="0"/>
            </w:tcBorders>
            <w:noWrap/>
            <w:vAlign w:val="center"/>
          </w:tcPr>
          <w:p w14:paraId="67863C9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1F01AD6A">
            <w:pPr>
              <w:keepNext w:val="0"/>
              <w:keepLines w:val="0"/>
              <w:widowControl/>
              <w:suppressLineNumbers w:val="0"/>
              <w:jc w:val="both"/>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232.债务付息支出</w:t>
            </w:r>
          </w:p>
        </w:tc>
        <w:tc>
          <w:tcPr>
            <w:tcW w:w="966" w:type="dxa"/>
            <w:tcBorders>
              <w:top w:val="nil"/>
              <w:left w:val="nil"/>
              <w:bottom w:val="single" w:color="auto" w:sz="8" w:space="0"/>
              <w:right w:val="single" w:color="auto" w:sz="8" w:space="0"/>
            </w:tcBorders>
            <w:noWrap/>
            <w:vAlign w:val="center"/>
          </w:tcPr>
          <w:p w14:paraId="0F3F51B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10504</w:t>
            </w:r>
          </w:p>
        </w:tc>
        <w:tc>
          <w:tcPr>
            <w:tcW w:w="1151" w:type="dxa"/>
            <w:tcBorders>
              <w:top w:val="nil"/>
              <w:left w:val="nil"/>
              <w:bottom w:val="single" w:color="auto" w:sz="8" w:space="0"/>
              <w:right w:val="single" w:color="auto" w:sz="8" w:space="0"/>
            </w:tcBorders>
            <w:noWrap/>
            <w:vAlign w:val="center"/>
          </w:tcPr>
          <w:p w14:paraId="485D62F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10504</w:t>
            </w:r>
          </w:p>
        </w:tc>
        <w:tc>
          <w:tcPr>
            <w:tcW w:w="1030" w:type="dxa"/>
            <w:tcBorders>
              <w:top w:val="nil"/>
              <w:left w:val="nil"/>
              <w:bottom w:val="single" w:color="auto" w:sz="8" w:space="0"/>
              <w:right w:val="single" w:color="auto" w:sz="8" w:space="0"/>
            </w:tcBorders>
            <w:noWrap/>
            <w:vAlign w:val="center"/>
          </w:tcPr>
          <w:p w14:paraId="3072161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13824B97">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4F69068C">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三、上年结余收入</w:t>
            </w:r>
          </w:p>
        </w:tc>
        <w:tc>
          <w:tcPr>
            <w:tcW w:w="966" w:type="dxa"/>
            <w:tcBorders>
              <w:top w:val="nil"/>
              <w:left w:val="nil"/>
              <w:bottom w:val="single" w:color="auto" w:sz="8" w:space="0"/>
              <w:right w:val="single" w:color="auto" w:sz="8" w:space="0"/>
            </w:tcBorders>
            <w:noWrap/>
            <w:vAlign w:val="center"/>
          </w:tcPr>
          <w:p w14:paraId="06779AC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22240</w:t>
            </w:r>
          </w:p>
        </w:tc>
        <w:tc>
          <w:tcPr>
            <w:tcW w:w="966" w:type="dxa"/>
            <w:tcBorders>
              <w:top w:val="nil"/>
              <w:left w:val="nil"/>
              <w:bottom w:val="single" w:color="auto" w:sz="8" w:space="0"/>
              <w:right w:val="single" w:color="auto" w:sz="8" w:space="0"/>
            </w:tcBorders>
            <w:noWrap/>
            <w:vAlign w:val="center"/>
          </w:tcPr>
          <w:p w14:paraId="30C6F8A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22240</w:t>
            </w:r>
          </w:p>
        </w:tc>
        <w:tc>
          <w:tcPr>
            <w:tcW w:w="966" w:type="dxa"/>
            <w:tcBorders>
              <w:top w:val="nil"/>
              <w:left w:val="nil"/>
              <w:bottom w:val="single" w:color="auto" w:sz="8" w:space="0"/>
              <w:right w:val="single" w:color="auto" w:sz="8" w:space="0"/>
            </w:tcBorders>
            <w:noWrap/>
            <w:vAlign w:val="center"/>
          </w:tcPr>
          <w:p w14:paraId="0FAC63F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02E7352D">
            <w:pPr>
              <w:keepNext w:val="0"/>
              <w:keepLines w:val="0"/>
              <w:widowControl/>
              <w:suppressLineNumbers w:val="0"/>
              <w:jc w:val="both"/>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233.债务发行费用支出</w:t>
            </w:r>
          </w:p>
        </w:tc>
        <w:tc>
          <w:tcPr>
            <w:tcW w:w="966" w:type="dxa"/>
            <w:tcBorders>
              <w:top w:val="nil"/>
              <w:left w:val="nil"/>
              <w:bottom w:val="single" w:color="auto" w:sz="8" w:space="0"/>
              <w:right w:val="single" w:color="auto" w:sz="8" w:space="0"/>
            </w:tcBorders>
            <w:noWrap/>
            <w:vAlign w:val="center"/>
          </w:tcPr>
          <w:p w14:paraId="2C1009F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151" w:type="dxa"/>
            <w:tcBorders>
              <w:top w:val="nil"/>
              <w:left w:val="nil"/>
              <w:bottom w:val="single" w:color="auto" w:sz="8" w:space="0"/>
              <w:right w:val="single" w:color="auto" w:sz="8" w:space="0"/>
            </w:tcBorders>
            <w:noWrap/>
            <w:vAlign w:val="center"/>
          </w:tcPr>
          <w:p w14:paraId="2617B30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030" w:type="dxa"/>
            <w:tcBorders>
              <w:top w:val="nil"/>
              <w:left w:val="nil"/>
              <w:bottom w:val="single" w:color="auto" w:sz="8" w:space="0"/>
              <w:right w:val="single" w:color="auto" w:sz="8" w:space="0"/>
            </w:tcBorders>
            <w:noWrap/>
            <w:vAlign w:val="center"/>
          </w:tcPr>
          <w:p w14:paraId="1596B97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36F5BD0D">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50AE568F">
            <w:pPr>
              <w:keepNext w:val="0"/>
              <w:keepLines w:val="0"/>
              <w:widowControl/>
              <w:suppressLineNumbers w:val="0"/>
              <w:jc w:val="both"/>
              <w:textAlignment w:val="center"/>
              <w:rPr>
                <w:rFonts w:ascii="Times New Roman" w:hAnsi="Times New Roman" w:eastAsia="宋体" w:cs="Times New Roman"/>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四、专项债务转贷收入</w:t>
            </w:r>
          </w:p>
        </w:tc>
        <w:tc>
          <w:tcPr>
            <w:tcW w:w="966" w:type="dxa"/>
            <w:tcBorders>
              <w:top w:val="nil"/>
              <w:left w:val="nil"/>
              <w:bottom w:val="single" w:color="auto" w:sz="8" w:space="0"/>
              <w:right w:val="single" w:color="auto" w:sz="8" w:space="0"/>
            </w:tcBorders>
            <w:noWrap/>
            <w:vAlign w:val="center"/>
          </w:tcPr>
          <w:p w14:paraId="65B350E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56512</w:t>
            </w:r>
          </w:p>
        </w:tc>
        <w:tc>
          <w:tcPr>
            <w:tcW w:w="966" w:type="dxa"/>
            <w:tcBorders>
              <w:top w:val="nil"/>
              <w:left w:val="nil"/>
              <w:bottom w:val="single" w:color="auto" w:sz="8" w:space="0"/>
              <w:right w:val="single" w:color="auto" w:sz="8" w:space="0"/>
            </w:tcBorders>
            <w:noWrap/>
            <w:vAlign w:val="center"/>
          </w:tcPr>
          <w:p w14:paraId="33C5222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56512</w:t>
            </w:r>
          </w:p>
        </w:tc>
        <w:tc>
          <w:tcPr>
            <w:tcW w:w="966" w:type="dxa"/>
            <w:tcBorders>
              <w:top w:val="nil"/>
              <w:left w:val="nil"/>
              <w:bottom w:val="single" w:color="auto" w:sz="8" w:space="0"/>
              <w:right w:val="single" w:color="auto" w:sz="8" w:space="0"/>
            </w:tcBorders>
            <w:noWrap/>
            <w:vAlign w:val="center"/>
          </w:tcPr>
          <w:p w14:paraId="614244A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c>
          <w:tcPr>
            <w:tcW w:w="3218" w:type="dxa"/>
            <w:tcBorders>
              <w:top w:val="nil"/>
              <w:left w:val="nil"/>
              <w:bottom w:val="single" w:color="auto" w:sz="8" w:space="0"/>
              <w:right w:val="single" w:color="auto" w:sz="8" w:space="0"/>
            </w:tcBorders>
            <w:noWrap/>
            <w:vAlign w:val="center"/>
          </w:tcPr>
          <w:p w14:paraId="44F15D6F">
            <w:pPr>
              <w:keepNext w:val="0"/>
              <w:keepLines w:val="0"/>
              <w:widowControl/>
              <w:suppressLineNumbers w:val="0"/>
              <w:jc w:val="both"/>
              <w:textAlignment w:val="center"/>
              <w:rPr>
                <w:rFonts w:ascii="Times New Roman" w:hAnsi="Times New Roman" w:eastAsia="宋体" w:cs="Times New Roman"/>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二、债务还本支出</w:t>
            </w:r>
          </w:p>
        </w:tc>
        <w:tc>
          <w:tcPr>
            <w:tcW w:w="966" w:type="dxa"/>
            <w:tcBorders>
              <w:top w:val="nil"/>
              <w:left w:val="nil"/>
              <w:bottom w:val="single" w:color="auto" w:sz="8" w:space="0"/>
              <w:right w:val="single" w:color="auto" w:sz="8" w:space="0"/>
            </w:tcBorders>
            <w:noWrap/>
            <w:vAlign w:val="center"/>
          </w:tcPr>
          <w:p w14:paraId="513F2B8E">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33409</w:t>
            </w:r>
          </w:p>
        </w:tc>
        <w:tc>
          <w:tcPr>
            <w:tcW w:w="1151" w:type="dxa"/>
            <w:tcBorders>
              <w:top w:val="nil"/>
              <w:left w:val="nil"/>
              <w:bottom w:val="single" w:color="auto" w:sz="8" w:space="0"/>
              <w:right w:val="single" w:color="auto" w:sz="8" w:space="0"/>
            </w:tcBorders>
            <w:noWrap/>
            <w:vAlign w:val="center"/>
          </w:tcPr>
          <w:p w14:paraId="6F614117">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33409</w:t>
            </w:r>
          </w:p>
        </w:tc>
        <w:tc>
          <w:tcPr>
            <w:tcW w:w="1030" w:type="dxa"/>
            <w:tcBorders>
              <w:top w:val="nil"/>
              <w:left w:val="nil"/>
              <w:bottom w:val="single" w:color="auto" w:sz="8" w:space="0"/>
              <w:right w:val="single" w:color="auto" w:sz="8" w:space="0"/>
            </w:tcBorders>
            <w:noWrap/>
            <w:vAlign w:val="center"/>
          </w:tcPr>
          <w:p w14:paraId="441D02A0">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r>
      <w:tr w14:paraId="26034EE2">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7E77D968">
            <w:pPr>
              <w:keepNext w:val="0"/>
              <w:keepLines w:val="0"/>
              <w:widowControl/>
              <w:suppressLineNumbers w:val="0"/>
              <w:jc w:val="both"/>
              <w:textAlignment w:val="center"/>
              <w:rPr>
                <w:rFonts w:hint="eastAsia" w:ascii="Times New Roman" w:hAnsi="Times New Roman" w:eastAsia="宋体" w:cs="宋体"/>
                <w:color w:val="auto"/>
                <w:kern w:val="0"/>
                <w:sz w:val="18"/>
                <w:szCs w:val="18"/>
                <w:lang w:eastAsia="zh-CN"/>
              </w:rPr>
            </w:pPr>
            <w:r>
              <w:rPr>
                <w:rFonts w:hint="eastAsia" w:ascii="宋体" w:hAnsi="宋体" w:eastAsia="宋体" w:cs="宋体"/>
                <w:i w:val="0"/>
                <w:iCs w:val="0"/>
                <w:color w:val="000000"/>
                <w:kern w:val="0"/>
                <w:sz w:val="18"/>
                <w:szCs w:val="18"/>
                <w:u w:val="none"/>
                <w:lang w:val="en-US" w:eastAsia="zh-CN" w:bidi="ar"/>
              </w:rPr>
              <w:t>五、调入资金</w:t>
            </w:r>
          </w:p>
        </w:tc>
        <w:tc>
          <w:tcPr>
            <w:tcW w:w="966" w:type="dxa"/>
            <w:tcBorders>
              <w:top w:val="nil"/>
              <w:left w:val="nil"/>
              <w:bottom w:val="single" w:color="auto" w:sz="8" w:space="0"/>
              <w:right w:val="single" w:color="auto" w:sz="8" w:space="0"/>
            </w:tcBorders>
            <w:noWrap/>
            <w:vAlign w:val="center"/>
          </w:tcPr>
          <w:p w14:paraId="4938A3B1">
            <w:pPr>
              <w:jc w:val="center"/>
              <w:rPr>
                <w:rFonts w:ascii="Times New Roman" w:hAnsi="Times New Roman" w:cs="宋体"/>
                <w:color w:val="auto"/>
                <w:kern w:val="0"/>
                <w:sz w:val="18"/>
                <w:szCs w:val="18"/>
              </w:rPr>
            </w:pPr>
          </w:p>
        </w:tc>
        <w:tc>
          <w:tcPr>
            <w:tcW w:w="966" w:type="dxa"/>
            <w:tcBorders>
              <w:top w:val="nil"/>
              <w:left w:val="nil"/>
              <w:bottom w:val="single" w:color="auto" w:sz="8" w:space="0"/>
              <w:right w:val="single" w:color="auto" w:sz="8" w:space="0"/>
            </w:tcBorders>
            <w:noWrap/>
            <w:vAlign w:val="center"/>
          </w:tcPr>
          <w:p w14:paraId="76A16A39">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2477</w:t>
            </w:r>
          </w:p>
        </w:tc>
        <w:tc>
          <w:tcPr>
            <w:tcW w:w="966" w:type="dxa"/>
            <w:tcBorders>
              <w:top w:val="nil"/>
              <w:left w:val="nil"/>
              <w:bottom w:val="single" w:color="auto" w:sz="8" w:space="0"/>
              <w:right w:val="single" w:color="auto" w:sz="8" w:space="0"/>
            </w:tcBorders>
            <w:noWrap/>
            <w:vAlign w:val="center"/>
          </w:tcPr>
          <w:p w14:paraId="27222315">
            <w:pPr>
              <w:jc w:val="center"/>
              <w:rPr>
                <w:rFonts w:ascii="Times New Roman" w:hAnsi="Times New Roman" w:cs="宋体"/>
                <w:color w:val="auto"/>
                <w:kern w:val="0"/>
                <w:sz w:val="18"/>
                <w:szCs w:val="18"/>
              </w:rPr>
            </w:pPr>
          </w:p>
        </w:tc>
        <w:tc>
          <w:tcPr>
            <w:tcW w:w="3218" w:type="dxa"/>
            <w:tcBorders>
              <w:top w:val="nil"/>
              <w:left w:val="nil"/>
              <w:bottom w:val="single" w:color="auto" w:sz="8" w:space="0"/>
              <w:right w:val="single" w:color="auto" w:sz="8" w:space="0"/>
            </w:tcBorders>
            <w:noWrap/>
            <w:vAlign w:val="center"/>
          </w:tcPr>
          <w:p w14:paraId="1C0CACB6">
            <w:pPr>
              <w:keepNext w:val="0"/>
              <w:keepLines w:val="0"/>
              <w:widowControl/>
              <w:suppressLineNumbers w:val="0"/>
              <w:jc w:val="both"/>
              <w:textAlignment w:val="center"/>
              <w:rPr>
                <w:rFonts w:ascii="Times New Roman" w:hAnsi="Times New Roman" w:eastAsia="宋体" w:cs="Times New Roman"/>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三、待偿债再融资专项债券结余</w:t>
            </w:r>
          </w:p>
        </w:tc>
        <w:tc>
          <w:tcPr>
            <w:tcW w:w="966" w:type="dxa"/>
            <w:tcBorders>
              <w:top w:val="nil"/>
              <w:left w:val="nil"/>
              <w:bottom w:val="single" w:color="auto" w:sz="8" w:space="0"/>
              <w:right w:val="single" w:color="auto" w:sz="8" w:space="0"/>
            </w:tcBorders>
            <w:noWrap/>
            <w:vAlign w:val="center"/>
          </w:tcPr>
          <w:p w14:paraId="56155E50">
            <w:pPr>
              <w:jc w:val="center"/>
              <w:rPr>
                <w:rFonts w:hint="eastAsia" w:ascii="Times New Roman" w:hAnsi="Times New Roman" w:eastAsia="宋体" w:cs="宋体"/>
                <w:i w:val="0"/>
                <w:iCs w:val="0"/>
                <w:color w:val="auto"/>
                <w:kern w:val="0"/>
                <w:sz w:val="18"/>
                <w:szCs w:val="18"/>
                <w:u w:val="none"/>
                <w:lang w:val="en-US" w:eastAsia="zh-CN" w:bidi="ar"/>
              </w:rPr>
            </w:pPr>
          </w:p>
        </w:tc>
        <w:tc>
          <w:tcPr>
            <w:tcW w:w="1151" w:type="dxa"/>
            <w:tcBorders>
              <w:top w:val="nil"/>
              <w:left w:val="nil"/>
              <w:bottom w:val="single" w:color="auto" w:sz="8" w:space="0"/>
              <w:right w:val="single" w:color="auto" w:sz="8" w:space="0"/>
            </w:tcBorders>
            <w:noWrap/>
            <w:vAlign w:val="center"/>
          </w:tcPr>
          <w:p w14:paraId="48F6F87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4600</w:t>
            </w:r>
          </w:p>
        </w:tc>
        <w:tc>
          <w:tcPr>
            <w:tcW w:w="1030" w:type="dxa"/>
            <w:tcBorders>
              <w:top w:val="nil"/>
              <w:left w:val="nil"/>
              <w:bottom w:val="single" w:color="auto" w:sz="8" w:space="0"/>
              <w:right w:val="single" w:color="auto" w:sz="8" w:space="0"/>
            </w:tcBorders>
            <w:noWrap/>
            <w:vAlign w:val="center"/>
          </w:tcPr>
          <w:p w14:paraId="1D726BEA">
            <w:pPr>
              <w:jc w:val="center"/>
              <w:rPr>
                <w:rFonts w:hint="eastAsia" w:ascii="Times New Roman" w:hAnsi="Times New Roman" w:eastAsia="宋体" w:cs="宋体"/>
                <w:i w:val="0"/>
                <w:iCs w:val="0"/>
                <w:color w:val="auto"/>
                <w:kern w:val="0"/>
                <w:sz w:val="18"/>
                <w:szCs w:val="18"/>
                <w:u w:val="none"/>
                <w:lang w:val="en-US" w:eastAsia="zh-CN" w:bidi="ar"/>
              </w:rPr>
            </w:pPr>
          </w:p>
        </w:tc>
      </w:tr>
      <w:tr w14:paraId="4C6940F1">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3DB791A3">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收入合计</w:t>
            </w:r>
          </w:p>
        </w:tc>
        <w:tc>
          <w:tcPr>
            <w:tcW w:w="966" w:type="dxa"/>
            <w:tcBorders>
              <w:top w:val="nil"/>
              <w:left w:val="nil"/>
              <w:bottom w:val="single" w:color="auto" w:sz="8" w:space="0"/>
              <w:right w:val="single" w:color="auto" w:sz="8" w:space="0"/>
            </w:tcBorders>
            <w:noWrap/>
            <w:vAlign w:val="center"/>
          </w:tcPr>
          <w:p w14:paraId="0226A35C">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187988</w:t>
            </w:r>
          </w:p>
        </w:tc>
        <w:tc>
          <w:tcPr>
            <w:tcW w:w="966" w:type="dxa"/>
            <w:tcBorders>
              <w:top w:val="nil"/>
              <w:left w:val="nil"/>
              <w:bottom w:val="single" w:color="auto" w:sz="8" w:space="0"/>
              <w:right w:val="single" w:color="auto" w:sz="8" w:space="0"/>
            </w:tcBorders>
            <w:noWrap/>
            <w:vAlign w:val="center"/>
          </w:tcPr>
          <w:p w14:paraId="2E335E84">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190465</w:t>
            </w:r>
          </w:p>
        </w:tc>
        <w:tc>
          <w:tcPr>
            <w:tcW w:w="966" w:type="dxa"/>
            <w:tcBorders>
              <w:top w:val="nil"/>
              <w:left w:val="nil"/>
              <w:bottom w:val="single" w:color="auto" w:sz="8" w:space="0"/>
              <w:right w:val="single" w:color="auto" w:sz="8" w:space="0"/>
            </w:tcBorders>
            <w:noWrap/>
            <w:vAlign w:val="center"/>
          </w:tcPr>
          <w:p w14:paraId="6F74E49A">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101.32%</w:t>
            </w:r>
          </w:p>
        </w:tc>
        <w:tc>
          <w:tcPr>
            <w:tcW w:w="3218" w:type="dxa"/>
            <w:tcBorders>
              <w:top w:val="nil"/>
              <w:left w:val="nil"/>
              <w:bottom w:val="single" w:color="auto" w:sz="8" w:space="0"/>
              <w:right w:val="single" w:color="auto" w:sz="8" w:space="0"/>
            </w:tcBorders>
            <w:noWrap/>
            <w:vAlign w:val="center"/>
          </w:tcPr>
          <w:p w14:paraId="60CC06D1">
            <w:pPr>
              <w:keepNext w:val="0"/>
              <w:keepLines w:val="0"/>
              <w:widowControl/>
              <w:suppressLineNumbers w:val="0"/>
              <w:jc w:val="center"/>
              <w:textAlignment w:val="center"/>
              <w:rPr>
                <w:rFonts w:ascii="Times New Roman" w:hAnsi="Times New Roman" w:eastAsia="宋体" w:cs="Times New Roman"/>
                <w:color w:val="auto"/>
                <w:kern w:val="2"/>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支出合计</w:t>
            </w:r>
          </w:p>
        </w:tc>
        <w:tc>
          <w:tcPr>
            <w:tcW w:w="966" w:type="dxa"/>
            <w:tcBorders>
              <w:top w:val="nil"/>
              <w:left w:val="nil"/>
              <w:bottom w:val="single" w:color="auto" w:sz="8" w:space="0"/>
              <w:right w:val="single" w:color="auto" w:sz="8" w:space="0"/>
            </w:tcBorders>
            <w:noWrap/>
            <w:vAlign w:val="center"/>
          </w:tcPr>
          <w:p w14:paraId="0C87789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124834</w:t>
            </w:r>
          </w:p>
        </w:tc>
        <w:tc>
          <w:tcPr>
            <w:tcW w:w="1151" w:type="dxa"/>
            <w:tcBorders>
              <w:top w:val="nil"/>
              <w:left w:val="nil"/>
              <w:bottom w:val="single" w:color="auto" w:sz="8" w:space="0"/>
              <w:right w:val="single" w:color="auto" w:sz="8" w:space="0"/>
            </w:tcBorders>
            <w:noWrap/>
            <w:vAlign w:val="center"/>
          </w:tcPr>
          <w:p w14:paraId="725EFF5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129434</w:t>
            </w:r>
          </w:p>
        </w:tc>
        <w:tc>
          <w:tcPr>
            <w:tcW w:w="1030" w:type="dxa"/>
            <w:tcBorders>
              <w:top w:val="nil"/>
              <w:left w:val="nil"/>
              <w:bottom w:val="single" w:color="auto" w:sz="8" w:space="0"/>
              <w:right w:val="single" w:color="auto" w:sz="8" w:space="0"/>
            </w:tcBorders>
            <w:noWrap/>
            <w:vAlign w:val="center"/>
          </w:tcPr>
          <w:p w14:paraId="6FAF392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103.68%</w:t>
            </w:r>
          </w:p>
        </w:tc>
      </w:tr>
      <w:tr w14:paraId="07F7505C">
        <w:tblPrEx>
          <w:tblCellMar>
            <w:top w:w="0" w:type="dxa"/>
            <w:left w:w="108" w:type="dxa"/>
            <w:bottom w:w="0" w:type="dxa"/>
            <w:right w:w="108" w:type="dxa"/>
          </w:tblCellMar>
        </w:tblPrEx>
        <w:trPr>
          <w:trHeight w:val="397" w:hRule="atLeast"/>
          <w:jc w:val="center"/>
        </w:trPr>
        <w:tc>
          <w:tcPr>
            <w:tcW w:w="3218" w:type="dxa"/>
            <w:tcBorders>
              <w:top w:val="nil"/>
              <w:left w:val="single" w:color="auto" w:sz="8" w:space="0"/>
              <w:bottom w:val="single" w:color="auto" w:sz="8" w:space="0"/>
              <w:right w:val="single" w:color="auto" w:sz="8" w:space="0"/>
            </w:tcBorders>
            <w:noWrap/>
            <w:vAlign w:val="center"/>
          </w:tcPr>
          <w:p w14:paraId="5143821A">
            <w:pPr>
              <w:jc w:val="both"/>
              <w:rPr>
                <w:rFonts w:ascii="Times New Roman" w:hAnsi="Times New Roman"/>
                <w:color w:val="auto"/>
                <w:kern w:val="0"/>
                <w:sz w:val="18"/>
                <w:szCs w:val="18"/>
              </w:rPr>
            </w:pPr>
          </w:p>
        </w:tc>
        <w:tc>
          <w:tcPr>
            <w:tcW w:w="966" w:type="dxa"/>
            <w:tcBorders>
              <w:top w:val="nil"/>
              <w:left w:val="nil"/>
              <w:bottom w:val="single" w:color="auto" w:sz="8" w:space="0"/>
              <w:right w:val="single" w:color="auto" w:sz="8" w:space="0"/>
            </w:tcBorders>
            <w:noWrap/>
            <w:vAlign w:val="center"/>
          </w:tcPr>
          <w:p w14:paraId="1AA894E7">
            <w:pPr>
              <w:jc w:val="center"/>
              <w:rPr>
                <w:rFonts w:ascii="Times New Roman" w:hAnsi="Times New Roman" w:cs="宋体"/>
                <w:color w:val="auto"/>
                <w:kern w:val="0"/>
                <w:sz w:val="18"/>
                <w:szCs w:val="18"/>
              </w:rPr>
            </w:pPr>
          </w:p>
        </w:tc>
        <w:tc>
          <w:tcPr>
            <w:tcW w:w="966" w:type="dxa"/>
            <w:tcBorders>
              <w:top w:val="nil"/>
              <w:left w:val="nil"/>
              <w:bottom w:val="single" w:color="auto" w:sz="8" w:space="0"/>
              <w:right w:val="single" w:color="auto" w:sz="8" w:space="0"/>
            </w:tcBorders>
            <w:noWrap/>
            <w:vAlign w:val="center"/>
          </w:tcPr>
          <w:p w14:paraId="766E103D">
            <w:pPr>
              <w:jc w:val="center"/>
              <w:rPr>
                <w:rFonts w:ascii="Times New Roman" w:hAnsi="Times New Roman" w:cs="宋体"/>
                <w:color w:val="auto"/>
                <w:kern w:val="0"/>
                <w:sz w:val="18"/>
                <w:szCs w:val="18"/>
              </w:rPr>
            </w:pPr>
          </w:p>
        </w:tc>
        <w:tc>
          <w:tcPr>
            <w:tcW w:w="966" w:type="dxa"/>
            <w:tcBorders>
              <w:top w:val="nil"/>
              <w:left w:val="nil"/>
              <w:bottom w:val="single" w:color="auto" w:sz="8" w:space="0"/>
              <w:right w:val="single" w:color="auto" w:sz="8" w:space="0"/>
            </w:tcBorders>
            <w:noWrap/>
            <w:vAlign w:val="center"/>
          </w:tcPr>
          <w:p w14:paraId="31A1C4A2">
            <w:pPr>
              <w:jc w:val="center"/>
              <w:rPr>
                <w:rFonts w:ascii="Times New Roman" w:hAnsi="Times New Roman" w:cs="宋体"/>
                <w:color w:val="auto"/>
                <w:kern w:val="0"/>
                <w:sz w:val="18"/>
                <w:szCs w:val="18"/>
              </w:rPr>
            </w:pPr>
          </w:p>
        </w:tc>
        <w:tc>
          <w:tcPr>
            <w:tcW w:w="3218" w:type="dxa"/>
            <w:tcBorders>
              <w:top w:val="nil"/>
              <w:left w:val="nil"/>
              <w:bottom w:val="single" w:color="auto" w:sz="8" w:space="0"/>
              <w:right w:val="single" w:color="auto" w:sz="8" w:space="0"/>
            </w:tcBorders>
            <w:noWrap/>
            <w:vAlign w:val="center"/>
          </w:tcPr>
          <w:p w14:paraId="00B42BA3">
            <w:pPr>
              <w:keepNext w:val="0"/>
              <w:keepLines w:val="0"/>
              <w:widowControl/>
              <w:suppressLineNumbers w:val="0"/>
              <w:jc w:val="center"/>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结转下年</w:t>
            </w:r>
          </w:p>
        </w:tc>
        <w:tc>
          <w:tcPr>
            <w:tcW w:w="966" w:type="dxa"/>
            <w:tcBorders>
              <w:top w:val="nil"/>
              <w:left w:val="nil"/>
              <w:bottom w:val="single" w:color="auto" w:sz="8" w:space="0"/>
              <w:right w:val="single" w:color="auto" w:sz="8" w:space="0"/>
            </w:tcBorders>
            <w:noWrap/>
            <w:vAlign w:val="center"/>
          </w:tcPr>
          <w:p w14:paraId="5246B14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63154</w:t>
            </w:r>
          </w:p>
        </w:tc>
        <w:tc>
          <w:tcPr>
            <w:tcW w:w="1151" w:type="dxa"/>
            <w:tcBorders>
              <w:top w:val="nil"/>
              <w:left w:val="nil"/>
              <w:bottom w:val="single" w:color="auto" w:sz="8" w:space="0"/>
              <w:right w:val="single" w:color="auto" w:sz="8" w:space="0"/>
            </w:tcBorders>
            <w:noWrap/>
            <w:vAlign w:val="center"/>
          </w:tcPr>
          <w:p w14:paraId="1E1B98F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61031</w:t>
            </w:r>
          </w:p>
        </w:tc>
        <w:tc>
          <w:tcPr>
            <w:tcW w:w="1030" w:type="dxa"/>
            <w:tcBorders>
              <w:top w:val="nil"/>
              <w:left w:val="nil"/>
              <w:bottom w:val="single" w:color="auto" w:sz="8" w:space="0"/>
              <w:right w:val="single" w:color="auto" w:sz="8" w:space="0"/>
            </w:tcBorders>
            <w:noWrap/>
            <w:vAlign w:val="center"/>
          </w:tcPr>
          <w:p w14:paraId="7D77EAC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96.64%</w:t>
            </w:r>
          </w:p>
        </w:tc>
      </w:tr>
    </w:tbl>
    <w:p w14:paraId="6DA499A4">
      <w:pPr>
        <w:rPr>
          <w:rFonts w:hint="eastAsia" w:ascii="黑体" w:hAnsi="黑体" w:eastAsia="黑体" w:cs="黑体"/>
          <w:sz w:val="32"/>
          <w:szCs w:val="32"/>
        </w:rPr>
      </w:pPr>
      <w:r>
        <w:rPr>
          <w:rFonts w:hint="eastAsia" w:ascii="黑体" w:hAnsi="黑体" w:eastAsia="黑体" w:cs="黑体"/>
          <w:sz w:val="32"/>
          <w:szCs w:val="32"/>
        </w:rPr>
        <w:br w:type="page"/>
      </w:r>
    </w:p>
    <w:p w14:paraId="1B04D52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2-03</w:t>
      </w:r>
    </w:p>
    <w:p w14:paraId="6760DFF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秭归县202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年社会</w:t>
      </w:r>
      <w:r>
        <w:rPr>
          <w:rFonts w:hint="eastAsia" w:ascii="方正小标宋简体" w:hAnsi="方正小标宋简体" w:eastAsia="方正小标宋简体" w:cs="方正小标宋简体"/>
          <w:sz w:val="44"/>
          <w:szCs w:val="44"/>
          <w:lang w:eastAsia="zh-CN"/>
        </w:rPr>
        <w:t>保险</w:t>
      </w:r>
      <w:r>
        <w:rPr>
          <w:rFonts w:hint="eastAsia" w:ascii="方正小标宋简体" w:hAnsi="方正小标宋简体" w:eastAsia="方正小标宋简体" w:cs="方正小标宋简体"/>
          <w:sz w:val="44"/>
          <w:szCs w:val="44"/>
        </w:rPr>
        <w:t>基金</w:t>
      </w:r>
      <w:r>
        <w:rPr>
          <w:rFonts w:hint="eastAsia" w:ascii="方正小标宋简体" w:hAnsi="方正小标宋简体" w:eastAsia="方正小标宋简体" w:cs="方正小标宋简体"/>
          <w:sz w:val="44"/>
          <w:szCs w:val="44"/>
          <w:lang w:eastAsia="zh-CN"/>
        </w:rPr>
        <w:t>预算</w:t>
      </w:r>
      <w:r>
        <w:rPr>
          <w:rFonts w:hint="eastAsia" w:ascii="方正小标宋简体" w:hAnsi="方正小标宋简体" w:eastAsia="方正小标宋简体" w:cs="方正小标宋简体"/>
          <w:sz w:val="44"/>
          <w:szCs w:val="44"/>
        </w:rPr>
        <w:t>决算表</w:t>
      </w:r>
    </w:p>
    <w:p w14:paraId="0DBC9365">
      <w:pPr>
        <w:jc w:val="right"/>
        <w:rPr>
          <w:rFonts w:hint="eastAsia"/>
          <w:sz w:val="24"/>
          <w:szCs w:val="24"/>
        </w:rPr>
      </w:pPr>
      <w:r>
        <w:rPr>
          <w:rFonts w:hint="eastAsia"/>
        </w:rPr>
        <w:t xml:space="preserve">                                                          </w:t>
      </w:r>
      <w:r>
        <w:rPr>
          <w:rFonts w:hint="eastAsia"/>
          <w:sz w:val="24"/>
          <w:szCs w:val="24"/>
          <w:lang w:val="en-US" w:eastAsia="zh-CN"/>
        </w:rPr>
        <w:t xml:space="preserve"> </w:t>
      </w:r>
      <w:r>
        <w:rPr>
          <w:rFonts w:hint="eastAsia"/>
          <w:sz w:val="24"/>
          <w:szCs w:val="24"/>
        </w:rPr>
        <w:t>单位：万元</w:t>
      </w:r>
    </w:p>
    <w:tbl>
      <w:tblPr>
        <w:tblStyle w:val="8"/>
        <w:tblW w:w="12224" w:type="dxa"/>
        <w:jc w:val="center"/>
        <w:tblLayout w:type="fixed"/>
        <w:tblCellMar>
          <w:top w:w="0" w:type="dxa"/>
          <w:left w:w="108" w:type="dxa"/>
          <w:bottom w:w="0" w:type="dxa"/>
          <w:right w:w="108" w:type="dxa"/>
        </w:tblCellMar>
      </w:tblPr>
      <w:tblGrid>
        <w:gridCol w:w="3192"/>
        <w:gridCol w:w="1000"/>
        <w:gridCol w:w="947"/>
        <w:gridCol w:w="1069"/>
        <w:gridCol w:w="3209"/>
        <w:gridCol w:w="992"/>
        <w:gridCol w:w="810"/>
        <w:gridCol w:w="1005"/>
      </w:tblGrid>
      <w:tr w14:paraId="1D6B00C1">
        <w:tblPrEx>
          <w:tblCellMar>
            <w:top w:w="0" w:type="dxa"/>
            <w:left w:w="108" w:type="dxa"/>
            <w:bottom w:w="0" w:type="dxa"/>
            <w:right w:w="108" w:type="dxa"/>
          </w:tblCellMar>
        </w:tblPrEx>
        <w:trPr>
          <w:trHeight w:val="397" w:hRule="atLeast"/>
          <w:jc w:val="center"/>
        </w:trPr>
        <w:tc>
          <w:tcPr>
            <w:tcW w:w="6208" w:type="dxa"/>
            <w:gridSpan w:val="4"/>
            <w:tcBorders>
              <w:top w:val="single" w:color="auto" w:sz="8" w:space="0"/>
              <w:left w:val="single" w:color="auto" w:sz="8" w:space="0"/>
              <w:bottom w:val="single" w:color="auto" w:sz="8" w:space="0"/>
              <w:right w:val="single" w:color="000000" w:sz="8" w:space="0"/>
            </w:tcBorders>
            <w:noWrap/>
            <w:vAlign w:val="center"/>
          </w:tcPr>
          <w:p w14:paraId="1A9BCD0F">
            <w:pPr>
              <w:widowControl/>
              <w:jc w:val="center"/>
              <w:rPr>
                <w:rFonts w:ascii="Times New Roman" w:hAnsi="Times New Roman" w:cs="宋体"/>
                <w:b/>
                <w:color w:val="auto"/>
                <w:kern w:val="0"/>
                <w:sz w:val="24"/>
              </w:rPr>
            </w:pPr>
            <w:r>
              <w:rPr>
                <w:rFonts w:hint="eastAsia" w:ascii="Times New Roman" w:hAnsi="Times New Roman" w:cs="宋体"/>
                <w:b/>
                <w:color w:val="auto"/>
                <w:kern w:val="0"/>
                <w:sz w:val="24"/>
              </w:rPr>
              <w:t>收     入</w:t>
            </w:r>
          </w:p>
        </w:tc>
        <w:tc>
          <w:tcPr>
            <w:tcW w:w="6016" w:type="dxa"/>
            <w:gridSpan w:val="4"/>
            <w:tcBorders>
              <w:top w:val="single" w:color="auto" w:sz="8" w:space="0"/>
              <w:left w:val="nil"/>
              <w:bottom w:val="single" w:color="auto" w:sz="8" w:space="0"/>
              <w:right w:val="single" w:color="000000" w:sz="8" w:space="0"/>
            </w:tcBorders>
            <w:noWrap/>
            <w:vAlign w:val="center"/>
          </w:tcPr>
          <w:p w14:paraId="68C7F71D">
            <w:pPr>
              <w:widowControl/>
              <w:jc w:val="center"/>
              <w:rPr>
                <w:rFonts w:ascii="Times New Roman" w:hAnsi="Times New Roman" w:cs="宋体"/>
                <w:b/>
                <w:color w:val="auto"/>
                <w:kern w:val="0"/>
                <w:sz w:val="24"/>
              </w:rPr>
            </w:pPr>
            <w:r>
              <w:rPr>
                <w:rFonts w:hint="eastAsia" w:ascii="Times New Roman" w:hAnsi="Times New Roman" w:cs="宋体"/>
                <w:b/>
                <w:color w:val="auto"/>
                <w:kern w:val="0"/>
                <w:sz w:val="24"/>
              </w:rPr>
              <w:t>支      出</w:t>
            </w:r>
          </w:p>
        </w:tc>
      </w:tr>
      <w:tr w14:paraId="0998983D">
        <w:tblPrEx>
          <w:tblCellMar>
            <w:top w:w="0" w:type="dxa"/>
            <w:left w:w="108" w:type="dxa"/>
            <w:bottom w:w="0" w:type="dxa"/>
            <w:right w:w="108" w:type="dxa"/>
          </w:tblCellMar>
        </w:tblPrEx>
        <w:trPr>
          <w:trHeight w:val="794" w:hRule="atLeast"/>
          <w:jc w:val="center"/>
        </w:trPr>
        <w:tc>
          <w:tcPr>
            <w:tcW w:w="3192" w:type="dxa"/>
            <w:tcBorders>
              <w:top w:val="nil"/>
              <w:left w:val="single" w:color="auto" w:sz="8" w:space="0"/>
              <w:bottom w:val="single" w:color="auto" w:sz="8" w:space="0"/>
              <w:right w:val="single" w:color="auto" w:sz="8" w:space="0"/>
            </w:tcBorders>
            <w:noWrap w:val="0"/>
            <w:vAlign w:val="center"/>
          </w:tcPr>
          <w:p w14:paraId="256B84B5">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项    目</w:t>
            </w:r>
          </w:p>
        </w:tc>
        <w:tc>
          <w:tcPr>
            <w:tcW w:w="1000" w:type="dxa"/>
            <w:tcBorders>
              <w:top w:val="nil"/>
              <w:left w:val="nil"/>
              <w:bottom w:val="nil"/>
              <w:right w:val="single" w:color="auto" w:sz="8" w:space="0"/>
            </w:tcBorders>
            <w:noWrap w:val="0"/>
            <w:vAlign w:val="center"/>
          </w:tcPr>
          <w:p w14:paraId="26148D77">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lang w:eastAsia="zh-CN"/>
              </w:rPr>
              <w:t>执行数</w:t>
            </w:r>
          </w:p>
        </w:tc>
        <w:tc>
          <w:tcPr>
            <w:tcW w:w="947" w:type="dxa"/>
            <w:tcBorders>
              <w:top w:val="nil"/>
              <w:left w:val="nil"/>
              <w:bottom w:val="single" w:color="auto" w:sz="8" w:space="0"/>
              <w:right w:val="single" w:color="auto" w:sz="8" w:space="0"/>
            </w:tcBorders>
            <w:noWrap w:val="0"/>
            <w:vAlign w:val="center"/>
          </w:tcPr>
          <w:p w14:paraId="14AB7D7F">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决算数</w:t>
            </w:r>
          </w:p>
        </w:tc>
        <w:tc>
          <w:tcPr>
            <w:tcW w:w="1069" w:type="dxa"/>
            <w:tcBorders>
              <w:top w:val="nil"/>
              <w:left w:val="nil"/>
              <w:bottom w:val="single" w:color="auto" w:sz="8" w:space="0"/>
              <w:right w:val="single" w:color="auto" w:sz="8" w:space="0"/>
            </w:tcBorders>
            <w:noWrap w:val="0"/>
            <w:vAlign w:val="center"/>
          </w:tcPr>
          <w:p w14:paraId="3D1CCF85">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占</w:t>
            </w:r>
            <w:r>
              <w:rPr>
                <w:rFonts w:hint="eastAsia" w:ascii="Times New Roman" w:hAnsi="Times New Roman" w:cs="宋体"/>
                <w:color w:val="auto"/>
                <w:kern w:val="0"/>
                <w:sz w:val="18"/>
                <w:szCs w:val="18"/>
                <w:lang w:eastAsia="zh-CN"/>
              </w:rPr>
              <w:t>执行数</w:t>
            </w:r>
            <w:r>
              <w:rPr>
                <w:rFonts w:hint="eastAsia" w:ascii="Times New Roman" w:hAnsi="Times New Roman" w:cs="宋体"/>
                <w:color w:val="auto"/>
                <w:kern w:val="0"/>
                <w:sz w:val="18"/>
                <w:szCs w:val="18"/>
              </w:rPr>
              <w:t>%</w:t>
            </w:r>
          </w:p>
        </w:tc>
        <w:tc>
          <w:tcPr>
            <w:tcW w:w="3209" w:type="dxa"/>
            <w:tcBorders>
              <w:top w:val="nil"/>
              <w:left w:val="nil"/>
              <w:bottom w:val="single" w:color="auto" w:sz="8" w:space="0"/>
              <w:right w:val="single" w:color="auto" w:sz="8" w:space="0"/>
            </w:tcBorders>
            <w:noWrap w:val="0"/>
            <w:vAlign w:val="center"/>
          </w:tcPr>
          <w:p w14:paraId="24DE4D49">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 xml:space="preserve">项 </w:t>
            </w:r>
            <w:r>
              <w:rPr>
                <w:rFonts w:ascii="Times New Roman" w:hAnsi="Times New Roman" w:cs="宋体"/>
                <w:color w:val="auto"/>
                <w:kern w:val="0"/>
                <w:sz w:val="18"/>
                <w:szCs w:val="18"/>
              </w:rPr>
              <w:t xml:space="preserve"> </w:t>
            </w:r>
            <w:r>
              <w:rPr>
                <w:rFonts w:hint="eastAsia" w:ascii="Times New Roman" w:hAnsi="Times New Roman" w:cs="宋体"/>
                <w:color w:val="auto"/>
                <w:kern w:val="0"/>
                <w:sz w:val="18"/>
                <w:szCs w:val="18"/>
              </w:rPr>
              <w:t xml:space="preserve">  目</w:t>
            </w:r>
          </w:p>
        </w:tc>
        <w:tc>
          <w:tcPr>
            <w:tcW w:w="992" w:type="dxa"/>
            <w:tcBorders>
              <w:top w:val="nil"/>
              <w:left w:val="nil"/>
              <w:bottom w:val="nil"/>
              <w:right w:val="single" w:color="auto" w:sz="8" w:space="0"/>
            </w:tcBorders>
            <w:noWrap w:val="0"/>
            <w:vAlign w:val="center"/>
          </w:tcPr>
          <w:p w14:paraId="03F50FEF">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lang w:eastAsia="zh-CN"/>
              </w:rPr>
              <w:t>执行数</w:t>
            </w:r>
          </w:p>
        </w:tc>
        <w:tc>
          <w:tcPr>
            <w:tcW w:w="810" w:type="dxa"/>
            <w:tcBorders>
              <w:top w:val="nil"/>
              <w:left w:val="nil"/>
              <w:bottom w:val="single" w:color="auto" w:sz="8" w:space="0"/>
              <w:right w:val="single" w:color="auto" w:sz="8" w:space="0"/>
            </w:tcBorders>
            <w:noWrap w:val="0"/>
            <w:vAlign w:val="center"/>
          </w:tcPr>
          <w:p w14:paraId="0745C66E">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决算数</w:t>
            </w:r>
          </w:p>
        </w:tc>
        <w:tc>
          <w:tcPr>
            <w:tcW w:w="1005" w:type="dxa"/>
            <w:tcBorders>
              <w:top w:val="nil"/>
              <w:left w:val="nil"/>
              <w:bottom w:val="single" w:color="auto" w:sz="8" w:space="0"/>
              <w:right w:val="single" w:color="auto" w:sz="8" w:space="0"/>
            </w:tcBorders>
            <w:noWrap w:val="0"/>
            <w:vAlign w:val="center"/>
          </w:tcPr>
          <w:p w14:paraId="61374EAA">
            <w:pPr>
              <w:widowControl/>
              <w:jc w:val="center"/>
              <w:rPr>
                <w:rFonts w:ascii="Times New Roman" w:hAnsi="Times New Roman" w:cs="宋体"/>
                <w:color w:val="auto"/>
                <w:kern w:val="0"/>
                <w:sz w:val="18"/>
                <w:szCs w:val="18"/>
              </w:rPr>
            </w:pPr>
            <w:r>
              <w:rPr>
                <w:rFonts w:hint="eastAsia" w:ascii="Times New Roman" w:hAnsi="Times New Roman" w:cs="宋体"/>
                <w:color w:val="auto"/>
                <w:kern w:val="0"/>
                <w:sz w:val="18"/>
                <w:szCs w:val="18"/>
              </w:rPr>
              <w:t>占</w:t>
            </w:r>
            <w:r>
              <w:rPr>
                <w:rFonts w:hint="eastAsia" w:ascii="Times New Roman" w:hAnsi="Times New Roman" w:cs="宋体"/>
                <w:color w:val="auto"/>
                <w:kern w:val="0"/>
                <w:sz w:val="18"/>
                <w:szCs w:val="18"/>
                <w:lang w:eastAsia="zh-CN"/>
              </w:rPr>
              <w:t>执行数</w:t>
            </w:r>
            <w:r>
              <w:rPr>
                <w:rFonts w:hint="eastAsia" w:ascii="Times New Roman" w:hAnsi="Times New Roman" w:cs="宋体"/>
                <w:color w:val="auto"/>
                <w:kern w:val="0"/>
                <w:sz w:val="18"/>
                <w:szCs w:val="18"/>
              </w:rPr>
              <w:t>%</w:t>
            </w:r>
          </w:p>
        </w:tc>
      </w:tr>
      <w:tr w14:paraId="6B5396D9">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351809DF">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一、本级收入</w:t>
            </w:r>
          </w:p>
        </w:tc>
        <w:tc>
          <w:tcPr>
            <w:tcW w:w="1000" w:type="dxa"/>
            <w:tcBorders>
              <w:top w:val="single" w:color="auto" w:sz="8" w:space="0"/>
              <w:left w:val="nil"/>
              <w:bottom w:val="single" w:color="auto" w:sz="8" w:space="0"/>
              <w:right w:val="single" w:color="auto" w:sz="8" w:space="0"/>
            </w:tcBorders>
            <w:noWrap/>
            <w:vAlign w:val="center"/>
          </w:tcPr>
          <w:p w14:paraId="36C4BF08">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62556</w:t>
            </w:r>
          </w:p>
        </w:tc>
        <w:tc>
          <w:tcPr>
            <w:tcW w:w="947" w:type="dxa"/>
            <w:tcBorders>
              <w:top w:val="nil"/>
              <w:left w:val="nil"/>
              <w:bottom w:val="single" w:color="auto" w:sz="8" w:space="0"/>
              <w:right w:val="single" w:color="auto" w:sz="8" w:space="0"/>
            </w:tcBorders>
            <w:noWrap/>
            <w:vAlign w:val="center"/>
          </w:tcPr>
          <w:p w14:paraId="1B8D13AB">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65378</w:t>
            </w:r>
          </w:p>
        </w:tc>
        <w:tc>
          <w:tcPr>
            <w:tcW w:w="1069" w:type="dxa"/>
            <w:tcBorders>
              <w:top w:val="nil"/>
              <w:left w:val="nil"/>
              <w:bottom w:val="single" w:color="auto" w:sz="8" w:space="0"/>
              <w:right w:val="single" w:color="auto" w:sz="8" w:space="0"/>
            </w:tcBorders>
            <w:noWrap/>
            <w:vAlign w:val="center"/>
          </w:tcPr>
          <w:p w14:paraId="0D2B3240">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104.51%</w:t>
            </w:r>
          </w:p>
        </w:tc>
        <w:tc>
          <w:tcPr>
            <w:tcW w:w="3209" w:type="dxa"/>
            <w:tcBorders>
              <w:top w:val="nil"/>
              <w:left w:val="nil"/>
              <w:bottom w:val="single" w:color="auto" w:sz="8" w:space="0"/>
              <w:right w:val="single" w:color="auto" w:sz="8" w:space="0"/>
            </w:tcBorders>
            <w:noWrap/>
            <w:vAlign w:val="center"/>
          </w:tcPr>
          <w:p w14:paraId="77C1D8DE">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一、本年支出</w:t>
            </w:r>
          </w:p>
        </w:tc>
        <w:tc>
          <w:tcPr>
            <w:tcW w:w="992" w:type="dxa"/>
            <w:tcBorders>
              <w:top w:val="single" w:color="auto" w:sz="8" w:space="0"/>
              <w:left w:val="nil"/>
              <w:bottom w:val="single" w:color="auto" w:sz="8" w:space="0"/>
              <w:right w:val="single" w:color="auto" w:sz="8" w:space="0"/>
            </w:tcBorders>
            <w:noWrap/>
            <w:vAlign w:val="center"/>
          </w:tcPr>
          <w:p w14:paraId="6BDDDD8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55015</w:t>
            </w:r>
          </w:p>
        </w:tc>
        <w:tc>
          <w:tcPr>
            <w:tcW w:w="810" w:type="dxa"/>
            <w:tcBorders>
              <w:top w:val="nil"/>
              <w:left w:val="nil"/>
              <w:bottom w:val="single" w:color="auto" w:sz="8" w:space="0"/>
              <w:right w:val="single" w:color="auto" w:sz="8" w:space="0"/>
            </w:tcBorders>
            <w:noWrap/>
            <w:vAlign w:val="center"/>
          </w:tcPr>
          <w:p w14:paraId="747B653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54917</w:t>
            </w:r>
          </w:p>
        </w:tc>
        <w:tc>
          <w:tcPr>
            <w:tcW w:w="1005" w:type="dxa"/>
            <w:tcBorders>
              <w:top w:val="nil"/>
              <w:left w:val="nil"/>
              <w:bottom w:val="single" w:color="auto" w:sz="8" w:space="0"/>
              <w:right w:val="single" w:color="auto" w:sz="8" w:space="0"/>
            </w:tcBorders>
            <w:noWrap/>
            <w:vAlign w:val="center"/>
          </w:tcPr>
          <w:p w14:paraId="246B7CF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99.82%</w:t>
            </w:r>
          </w:p>
        </w:tc>
      </w:tr>
      <w:tr w14:paraId="76637820">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20E0650D">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企业职工基本养老保险基金</w:t>
            </w:r>
          </w:p>
        </w:tc>
        <w:tc>
          <w:tcPr>
            <w:tcW w:w="1000" w:type="dxa"/>
            <w:tcBorders>
              <w:top w:val="nil"/>
              <w:left w:val="nil"/>
              <w:bottom w:val="single" w:color="auto" w:sz="8" w:space="0"/>
              <w:right w:val="single" w:color="auto" w:sz="8" w:space="0"/>
            </w:tcBorders>
            <w:noWrap/>
            <w:vAlign w:val="center"/>
          </w:tcPr>
          <w:p w14:paraId="58976BBE">
            <w:pPr>
              <w:jc w:val="center"/>
              <w:rPr>
                <w:rFonts w:hint="eastAsia" w:ascii="Times New Roman" w:hAnsi="Times New Roman" w:eastAsia="宋体" w:cs="宋体"/>
                <w:color w:val="auto"/>
                <w:kern w:val="0"/>
                <w:sz w:val="18"/>
                <w:szCs w:val="18"/>
              </w:rPr>
            </w:pPr>
          </w:p>
        </w:tc>
        <w:tc>
          <w:tcPr>
            <w:tcW w:w="947" w:type="dxa"/>
            <w:tcBorders>
              <w:top w:val="nil"/>
              <w:left w:val="nil"/>
              <w:bottom w:val="single" w:color="auto" w:sz="8" w:space="0"/>
              <w:right w:val="single" w:color="auto" w:sz="8" w:space="0"/>
            </w:tcBorders>
            <w:noWrap/>
            <w:vAlign w:val="center"/>
          </w:tcPr>
          <w:p w14:paraId="5DCA3530">
            <w:pPr>
              <w:jc w:val="center"/>
              <w:rPr>
                <w:rFonts w:hint="eastAsia" w:ascii="Times New Roman" w:hAnsi="Times New Roman" w:eastAsia="宋体" w:cs="宋体"/>
                <w:color w:val="auto"/>
                <w:kern w:val="0"/>
                <w:sz w:val="18"/>
                <w:szCs w:val="18"/>
              </w:rPr>
            </w:pPr>
          </w:p>
        </w:tc>
        <w:tc>
          <w:tcPr>
            <w:tcW w:w="1069" w:type="dxa"/>
            <w:tcBorders>
              <w:top w:val="nil"/>
              <w:left w:val="nil"/>
              <w:bottom w:val="single" w:color="auto" w:sz="8" w:space="0"/>
              <w:right w:val="single" w:color="auto" w:sz="8" w:space="0"/>
            </w:tcBorders>
            <w:noWrap/>
            <w:vAlign w:val="center"/>
          </w:tcPr>
          <w:p w14:paraId="326D5182">
            <w:pPr>
              <w:jc w:val="center"/>
              <w:rPr>
                <w:rFonts w:hint="eastAsia" w:ascii="Times New Roman" w:hAnsi="Times New Roman" w:eastAsia="宋体" w:cs="宋体"/>
                <w:color w:val="auto"/>
                <w:kern w:val="0"/>
                <w:sz w:val="18"/>
                <w:szCs w:val="18"/>
              </w:rPr>
            </w:pPr>
          </w:p>
        </w:tc>
        <w:tc>
          <w:tcPr>
            <w:tcW w:w="3209" w:type="dxa"/>
            <w:tcBorders>
              <w:top w:val="nil"/>
              <w:left w:val="nil"/>
              <w:bottom w:val="single" w:color="auto" w:sz="8" w:space="0"/>
              <w:right w:val="single" w:color="auto" w:sz="8" w:space="0"/>
            </w:tcBorders>
            <w:noWrap/>
            <w:vAlign w:val="center"/>
          </w:tcPr>
          <w:p w14:paraId="77DF3A8D">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企业职工基本养老保险基金</w:t>
            </w:r>
          </w:p>
        </w:tc>
        <w:tc>
          <w:tcPr>
            <w:tcW w:w="992" w:type="dxa"/>
            <w:tcBorders>
              <w:top w:val="nil"/>
              <w:left w:val="nil"/>
              <w:bottom w:val="single" w:color="auto" w:sz="8" w:space="0"/>
              <w:right w:val="single" w:color="auto" w:sz="8" w:space="0"/>
            </w:tcBorders>
            <w:noWrap/>
            <w:vAlign w:val="center"/>
          </w:tcPr>
          <w:p w14:paraId="7F8768C0">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tcBorders>
              <w:top w:val="nil"/>
              <w:left w:val="nil"/>
              <w:bottom w:val="single" w:color="auto" w:sz="8" w:space="0"/>
              <w:right w:val="single" w:color="auto" w:sz="8" w:space="0"/>
            </w:tcBorders>
            <w:noWrap/>
            <w:vAlign w:val="center"/>
          </w:tcPr>
          <w:p w14:paraId="5C2AE7F7">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tcBorders>
              <w:top w:val="nil"/>
              <w:left w:val="nil"/>
              <w:bottom w:val="single" w:color="auto" w:sz="8" w:space="0"/>
              <w:right w:val="single" w:color="auto" w:sz="8" w:space="0"/>
            </w:tcBorders>
            <w:noWrap/>
            <w:vAlign w:val="center"/>
          </w:tcPr>
          <w:p w14:paraId="21799211">
            <w:pPr>
              <w:jc w:val="center"/>
              <w:rPr>
                <w:rFonts w:hint="eastAsia" w:ascii="Times New Roman" w:hAnsi="Times New Roman" w:eastAsia="宋体" w:cs="宋体"/>
                <w:i w:val="0"/>
                <w:iCs w:val="0"/>
                <w:color w:val="auto"/>
                <w:kern w:val="0"/>
                <w:sz w:val="18"/>
                <w:szCs w:val="18"/>
                <w:u w:val="none"/>
                <w:lang w:val="en-US" w:eastAsia="zh-CN" w:bidi="ar"/>
              </w:rPr>
            </w:pPr>
          </w:p>
        </w:tc>
      </w:tr>
      <w:tr w14:paraId="3F47138B">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1D626A59">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城乡居民基本养老保险基金</w:t>
            </w:r>
          </w:p>
        </w:tc>
        <w:tc>
          <w:tcPr>
            <w:tcW w:w="1000" w:type="dxa"/>
            <w:tcBorders>
              <w:top w:val="nil"/>
              <w:left w:val="nil"/>
              <w:bottom w:val="single" w:color="auto" w:sz="8" w:space="0"/>
              <w:right w:val="single" w:color="auto" w:sz="8" w:space="0"/>
            </w:tcBorders>
            <w:noWrap/>
            <w:vAlign w:val="center"/>
          </w:tcPr>
          <w:p w14:paraId="12E3900A">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24867</w:t>
            </w:r>
          </w:p>
        </w:tc>
        <w:tc>
          <w:tcPr>
            <w:tcW w:w="947" w:type="dxa"/>
            <w:tcBorders>
              <w:top w:val="nil"/>
              <w:left w:val="nil"/>
              <w:bottom w:val="single" w:color="auto" w:sz="8" w:space="0"/>
              <w:right w:val="single" w:color="auto" w:sz="8" w:space="0"/>
            </w:tcBorders>
            <w:noWrap/>
            <w:vAlign w:val="center"/>
          </w:tcPr>
          <w:p w14:paraId="31AC2B76">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27510</w:t>
            </w:r>
          </w:p>
        </w:tc>
        <w:tc>
          <w:tcPr>
            <w:tcW w:w="1069" w:type="dxa"/>
            <w:tcBorders>
              <w:top w:val="nil"/>
              <w:left w:val="nil"/>
              <w:bottom w:val="single" w:color="auto" w:sz="8" w:space="0"/>
              <w:right w:val="single" w:color="auto" w:sz="8" w:space="0"/>
            </w:tcBorders>
            <w:noWrap/>
            <w:vAlign w:val="center"/>
          </w:tcPr>
          <w:p w14:paraId="4482F017">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110.63%</w:t>
            </w:r>
          </w:p>
        </w:tc>
        <w:tc>
          <w:tcPr>
            <w:tcW w:w="3209" w:type="dxa"/>
            <w:tcBorders>
              <w:top w:val="nil"/>
              <w:left w:val="nil"/>
              <w:bottom w:val="single" w:color="auto" w:sz="8" w:space="0"/>
              <w:right w:val="single" w:color="auto" w:sz="8" w:space="0"/>
            </w:tcBorders>
            <w:noWrap/>
            <w:vAlign w:val="center"/>
          </w:tcPr>
          <w:p w14:paraId="251BC46F">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城乡居民基本养老保险基金</w:t>
            </w:r>
          </w:p>
        </w:tc>
        <w:tc>
          <w:tcPr>
            <w:tcW w:w="992" w:type="dxa"/>
            <w:tcBorders>
              <w:top w:val="nil"/>
              <w:left w:val="nil"/>
              <w:bottom w:val="single" w:color="auto" w:sz="8" w:space="0"/>
              <w:right w:val="single" w:color="auto" w:sz="8" w:space="0"/>
            </w:tcBorders>
            <w:noWrap/>
            <w:vAlign w:val="center"/>
          </w:tcPr>
          <w:p w14:paraId="05A5CF1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17332</w:t>
            </w:r>
          </w:p>
        </w:tc>
        <w:tc>
          <w:tcPr>
            <w:tcW w:w="810" w:type="dxa"/>
            <w:tcBorders>
              <w:top w:val="nil"/>
              <w:left w:val="nil"/>
              <w:bottom w:val="single" w:color="auto" w:sz="8" w:space="0"/>
              <w:right w:val="single" w:color="auto" w:sz="8" w:space="0"/>
            </w:tcBorders>
            <w:noWrap/>
            <w:vAlign w:val="center"/>
          </w:tcPr>
          <w:p w14:paraId="33589B1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17195</w:t>
            </w:r>
          </w:p>
        </w:tc>
        <w:tc>
          <w:tcPr>
            <w:tcW w:w="1005" w:type="dxa"/>
            <w:tcBorders>
              <w:top w:val="nil"/>
              <w:left w:val="nil"/>
              <w:bottom w:val="single" w:color="auto" w:sz="8" w:space="0"/>
              <w:right w:val="single" w:color="auto" w:sz="8" w:space="0"/>
            </w:tcBorders>
            <w:noWrap/>
            <w:vAlign w:val="center"/>
          </w:tcPr>
          <w:p w14:paraId="2836F0B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99.21%</w:t>
            </w:r>
          </w:p>
        </w:tc>
      </w:tr>
      <w:tr w14:paraId="7277885F">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48551257">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机关事业单位基本养老保险基金</w:t>
            </w:r>
          </w:p>
        </w:tc>
        <w:tc>
          <w:tcPr>
            <w:tcW w:w="1000" w:type="dxa"/>
            <w:tcBorders>
              <w:top w:val="nil"/>
              <w:left w:val="nil"/>
              <w:bottom w:val="single" w:color="auto" w:sz="8" w:space="0"/>
              <w:right w:val="single" w:color="auto" w:sz="8" w:space="0"/>
            </w:tcBorders>
            <w:noWrap/>
            <w:vAlign w:val="center"/>
          </w:tcPr>
          <w:p w14:paraId="4F069C7B">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37689</w:t>
            </w:r>
          </w:p>
        </w:tc>
        <w:tc>
          <w:tcPr>
            <w:tcW w:w="947" w:type="dxa"/>
            <w:tcBorders>
              <w:top w:val="nil"/>
              <w:left w:val="nil"/>
              <w:bottom w:val="single" w:color="auto" w:sz="8" w:space="0"/>
              <w:right w:val="single" w:color="auto" w:sz="8" w:space="0"/>
            </w:tcBorders>
            <w:noWrap/>
            <w:vAlign w:val="center"/>
          </w:tcPr>
          <w:p w14:paraId="14D3C233">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37868</w:t>
            </w:r>
          </w:p>
        </w:tc>
        <w:tc>
          <w:tcPr>
            <w:tcW w:w="1069" w:type="dxa"/>
            <w:tcBorders>
              <w:top w:val="nil"/>
              <w:left w:val="nil"/>
              <w:bottom w:val="single" w:color="auto" w:sz="8" w:space="0"/>
              <w:right w:val="single" w:color="auto" w:sz="8" w:space="0"/>
            </w:tcBorders>
            <w:noWrap/>
            <w:vAlign w:val="center"/>
          </w:tcPr>
          <w:p w14:paraId="26746146">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100.47%</w:t>
            </w:r>
          </w:p>
        </w:tc>
        <w:tc>
          <w:tcPr>
            <w:tcW w:w="3209" w:type="dxa"/>
            <w:tcBorders>
              <w:top w:val="nil"/>
              <w:left w:val="nil"/>
              <w:bottom w:val="single" w:color="auto" w:sz="8" w:space="0"/>
              <w:right w:val="single" w:color="auto" w:sz="8" w:space="0"/>
            </w:tcBorders>
            <w:noWrap/>
            <w:vAlign w:val="center"/>
          </w:tcPr>
          <w:p w14:paraId="14E9A650">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机关事业单位基本养老保险基金</w:t>
            </w:r>
          </w:p>
        </w:tc>
        <w:tc>
          <w:tcPr>
            <w:tcW w:w="992" w:type="dxa"/>
            <w:tcBorders>
              <w:top w:val="nil"/>
              <w:left w:val="nil"/>
              <w:bottom w:val="single" w:color="auto" w:sz="8" w:space="0"/>
              <w:right w:val="single" w:color="auto" w:sz="8" w:space="0"/>
            </w:tcBorders>
            <w:noWrap/>
            <w:vAlign w:val="center"/>
          </w:tcPr>
          <w:p w14:paraId="0AC89DF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37683</w:t>
            </w:r>
          </w:p>
        </w:tc>
        <w:tc>
          <w:tcPr>
            <w:tcW w:w="810" w:type="dxa"/>
            <w:tcBorders>
              <w:top w:val="nil"/>
              <w:left w:val="nil"/>
              <w:bottom w:val="single" w:color="auto" w:sz="8" w:space="0"/>
              <w:right w:val="single" w:color="auto" w:sz="8" w:space="0"/>
            </w:tcBorders>
            <w:noWrap/>
            <w:vAlign w:val="center"/>
          </w:tcPr>
          <w:p w14:paraId="721178F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37722</w:t>
            </w:r>
          </w:p>
        </w:tc>
        <w:tc>
          <w:tcPr>
            <w:tcW w:w="1005" w:type="dxa"/>
            <w:tcBorders>
              <w:top w:val="nil"/>
              <w:left w:val="nil"/>
              <w:bottom w:val="single" w:color="auto" w:sz="8" w:space="0"/>
              <w:right w:val="single" w:color="auto" w:sz="8" w:space="0"/>
            </w:tcBorders>
            <w:noWrap/>
            <w:vAlign w:val="center"/>
          </w:tcPr>
          <w:p w14:paraId="5E8E542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100.10%</w:t>
            </w:r>
          </w:p>
        </w:tc>
      </w:tr>
      <w:tr w14:paraId="132C4669">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249D397F">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职工基本医疗保险</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含生育保险</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基金</w:t>
            </w:r>
          </w:p>
        </w:tc>
        <w:tc>
          <w:tcPr>
            <w:tcW w:w="1000" w:type="dxa"/>
            <w:tcBorders>
              <w:top w:val="nil"/>
              <w:left w:val="nil"/>
              <w:bottom w:val="single" w:color="auto" w:sz="8" w:space="0"/>
              <w:right w:val="single" w:color="auto" w:sz="8" w:space="0"/>
            </w:tcBorders>
            <w:noWrap/>
            <w:vAlign w:val="center"/>
          </w:tcPr>
          <w:p w14:paraId="6B09C5CD">
            <w:pPr>
              <w:jc w:val="center"/>
              <w:rPr>
                <w:rFonts w:hint="eastAsia" w:ascii="Times New Roman" w:hAnsi="Times New Roman" w:eastAsia="宋体" w:cs="宋体"/>
                <w:color w:val="auto"/>
                <w:kern w:val="0"/>
                <w:sz w:val="18"/>
                <w:szCs w:val="18"/>
              </w:rPr>
            </w:pPr>
          </w:p>
        </w:tc>
        <w:tc>
          <w:tcPr>
            <w:tcW w:w="947" w:type="dxa"/>
            <w:tcBorders>
              <w:top w:val="nil"/>
              <w:left w:val="nil"/>
              <w:bottom w:val="single" w:color="auto" w:sz="8" w:space="0"/>
              <w:right w:val="single" w:color="auto" w:sz="8" w:space="0"/>
            </w:tcBorders>
            <w:noWrap/>
            <w:vAlign w:val="center"/>
          </w:tcPr>
          <w:p w14:paraId="6F836296">
            <w:pPr>
              <w:jc w:val="center"/>
              <w:rPr>
                <w:rFonts w:hint="eastAsia" w:ascii="Times New Roman" w:hAnsi="Times New Roman" w:eastAsia="宋体" w:cs="宋体"/>
                <w:color w:val="auto"/>
                <w:kern w:val="0"/>
                <w:sz w:val="18"/>
                <w:szCs w:val="18"/>
              </w:rPr>
            </w:pPr>
          </w:p>
        </w:tc>
        <w:tc>
          <w:tcPr>
            <w:tcW w:w="1069" w:type="dxa"/>
            <w:tcBorders>
              <w:top w:val="nil"/>
              <w:left w:val="nil"/>
              <w:bottom w:val="single" w:color="auto" w:sz="8" w:space="0"/>
              <w:right w:val="single" w:color="auto" w:sz="8" w:space="0"/>
            </w:tcBorders>
            <w:noWrap/>
            <w:vAlign w:val="center"/>
          </w:tcPr>
          <w:p w14:paraId="522DDC78">
            <w:pPr>
              <w:jc w:val="center"/>
              <w:rPr>
                <w:rFonts w:hint="eastAsia" w:ascii="Times New Roman" w:hAnsi="Times New Roman" w:eastAsia="宋体" w:cs="宋体"/>
                <w:color w:val="auto"/>
                <w:kern w:val="0"/>
                <w:sz w:val="18"/>
                <w:szCs w:val="18"/>
              </w:rPr>
            </w:pPr>
          </w:p>
        </w:tc>
        <w:tc>
          <w:tcPr>
            <w:tcW w:w="3209" w:type="dxa"/>
            <w:tcBorders>
              <w:top w:val="nil"/>
              <w:left w:val="nil"/>
              <w:bottom w:val="single" w:color="auto" w:sz="8" w:space="0"/>
              <w:right w:val="single" w:color="auto" w:sz="8" w:space="0"/>
            </w:tcBorders>
            <w:noWrap/>
            <w:vAlign w:val="center"/>
          </w:tcPr>
          <w:p w14:paraId="450FAD74">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职工基本医疗保险</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含生育保险</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基金</w:t>
            </w:r>
          </w:p>
        </w:tc>
        <w:tc>
          <w:tcPr>
            <w:tcW w:w="992" w:type="dxa"/>
            <w:tcBorders>
              <w:top w:val="nil"/>
              <w:left w:val="nil"/>
              <w:bottom w:val="single" w:color="auto" w:sz="8" w:space="0"/>
              <w:right w:val="single" w:color="auto" w:sz="8" w:space="0"/>
            </w:tcBorders>
            <w:noWrap/>
            <w:vAlign w:val="center"/>
          </w:tcPr>
          <w:p w14:paraId="0891AB88">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tcBorders>
              <w:top w:val="nil"/>
              <w:left w:val="nil"/>
              <w:bottom w:val="single" w:color="auto" w:sz="8" w:space="0"/>
              <w:right w:val="single" w:color="auto" w:sz="8" w:space="0"/>
            </w:tcBorders>
            <w:noWrap/>
            <w:vAlign w:val="center"/>
          </w:tcPr>
          <w:p w14:paraId="3284077B">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tcBorders>
              <w:top w:val="nil"/>
              <w:left w:val="nil"/>
              <w:bottom w:val="single" w:color="auto" w:sz="8" w:space="0"/>
              <w:right w:val="single" w:color="auto" w:sz="8" w:space="0"/>
            </w:tcBorders>
            <w:noWrap/>
            <w:vAlign w:val="center"/>
          </w:tcPr>
          <w:p w14:paraId="14A76A9D">
            <w:pPr>
              <w:jc w:val="center"/>
              <w:rPr>
                <w:rFonts w:hint="eastAsia" w:ascii="Times New Roman" w:hAnsi="Times New Roman" w:eastAsia="宋体" w:cs="宋体"/>
                <w:i w:val="0"/>
                <w:iCs w:val="0"/>
                <w:color w:val="auto"/>
                <w:kern w:val="0"/>
                <w:sz w:val="18"/>
                <w:szCs w:val="18"/>
                <w:u w:val="none"/>
                <w:lang w:val="en-US" w:eastAsia="zh-CN" w:bidi="ar"/>
              </w:rPr>
            </w:pPr>
          </w:p>
        </w:tc>
      </w:tr>
      <w:tr w14:paraId="306F5D9C">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4276E6CB">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城乡居民基本医疗保险基金</w:t>
            </w:r>
          </w:p>
        </w:tc>
        <w:tc>
          <w:tcPr>
            <w:tcW w:w="1000" w:type="dxa"/>
            <w:tcBorders>
              <w:top w:val="nil"/>
              <w:left w:val="nil"/>
              <w:bottom w:val="single" w:color="auto" w:sz="8" w:space="0"/>
              <w:right w:val="single" w:color="auto" w:sz="8" w:space="0"/>
            </w:tcBorders>
            <w:noWrap/>
            <w:vAlign w:val="center"/>
          </w:tcPr>
          <w:p w14:paraId="22871F7A">
            <w:pPr>
              <w:jc w:val="center"/>
              <w:rPr>
                <w:rFonts w:hint="eastAsia" w:ascii="Times New Roman" w:hAnsi="Times New Roman" w:eastAsia="宋体" w:cs="宋体"/>
                <w:color w:val="auto"/>
                <w:kern w:val="0"/>
                <w:sz w:val="18"/>
                <w:szCs w:val="18"/>
              </w:rPr>
            </w:pPr>
          </w:p>
        </w:tc>
        <w:tc>
          <w:tcPr>
            <w:tcW w:w="947" w:type="dxa"/>
            <w:tcBorders>
              <w:top w:val="nil"/>
              <w:left w:val="nil"/>
              <w:bottom w:val="single" w:color="auto" w:sz="8" w:space="0"/>
              <w:right w:val="single" w:color="auto" w:sz="8" w:space="0"/>
            </w:tcBorders>
            <w:noWrap/>
            <w:vAlign w:val="center"/>
          </w:tcPr>
          <w:p w14:paraId="6900CE8C">
            <w:pPr>
              <w:jc w:val="center"/>
              <w:rPr>
                <w:rFonts w:hint="eastAsia" w:ascii="Times New Roman" w:hAnsi="Times New Roman" w:eastAsia="宋体" w:cs="宋体"/>
                <w:color w:val="auto"/>
                <w:kern w:val="0"/>
                <w:sz w:val="18"/>
                <w:szCs w:val="18"/>
              </w:rPr>
            </w:pPr>
          </w:p>
        </w:tc>
        <w:tc>
          <w:tcPr>
            <w:tcW w:w="1069" w:type="dxa"/>
            <w:tcBorders>
              <w:top w:val="nil"/>
              <w:left w:val="nil"/>
              <w:bottom w:val="single" w:color="auto" w:sz="8" w:space="0"/>
              <w:right w:val="single" w:color="auto" w:sz="8" w:space="0"/>
            </w:tcBorders>
            <w:noWrap/>
            <w:vAlign w:val="center"/>
          </w:tcPr>
          <w:p w14:paraId="15705059">
            <w:pPr>
              <w:jc w:val="center"/>
              <w:rPr>
                <w:rFonts w:hint="eastAsia" w:ascii="Times New Roman" w:hAnsi="Times New Roman" w:eastAsia="宋体" w:cs="宋体"/>
                <w:color w:val="auto"/>
                <w:kern w:val="0"/>
                <w:sz w:val="18"/>
                <w:szCs w:val="18"/>
              </w:rPr>
            </w:pPr>
          </w:p>
        </w:tc>
        <w:tc>
          <w:tcPr>
            <w:tcW w:w="3209" w:type="dxa"/>
            <w:tcBorders>
              <w:top w:val="nil"/>
              <w:left w:val="nil"/>
              <w:bottom w:val="single" w:color="auto" w:sz="8" w:space="0"/>
              <w:right w:val="single" w:color="auto" w:sz="8" w:space="0"/>
            </w:tcBorders>
            <w:noWrap/>
            <w:vAlign w:val="center"/>
          </w:tcPr>
          <w:p w14:paraId="5ABED3B4">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城乡居民基本医疗保险基金</w:t>
            </w:r>
          </w:p>
        </w:tc>
        <w:tc>
          <w:tcPr>
            <w:tcW w:w="992" w:type="dxa"/>
            <w:tcBorders>
              <w:top w:val="nil"/>
              <w:left w:val="nil"/>
              <w:bottom w:val="single" w:color="auto" w:sz="8" w:space="0"/>
              <w:right w:val="single" w:color="auto" w:sz="8" w:space="0"/>
            </w:tcBorders>
            <w:noWrap/>
            <w:vAlign w:val="center"/>
          </w:tcPr>
          <w:p w14:paraId="44BD205C">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tcBorders>
              <w:top w:val="nil"/>
              <w:left w:val="nil"/>
              <w:bottom w:val="single" w:color="auto" w:sz="8" w:space="0"/>
              <w:right w:val="single" w:color="auto" w:sz="8" w:space="0"/>
            </w:tcBorders>
            <w:noWrap/>
            <w:vAlign w:val="center"/>
          </w:tcPr>
          <w:p w14:paraId="701176B6">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tcBorders>
              <w:top w:val="nil"/>
              <w:left w:val="nil"/>
              <w:bottom w:val="single" w:color="auto" w:sz="8" w:space="0"/>
              <w:right w:val="single" w:color="auto" w:sz="8" w:space="0"/>
            </w:tcBorders>
            <w:noWrap/>
            <w:vAlign w:val="center"/>
          </w:tcPr>
          <w:p w14:paraId="32208442">
            <w:pPr>
              <w:jc w:val="center"/>
              <w:rPr>
                <w:rFonts w:hint="eastAsia" w:ascii="Times New Roman" w:hAnsi="Times New Roman" w:eastAsia="宋体" w:cs="宋体"/>
                <w:i w:val="0"/>
                <w:iCs w:val="0"/>
                <w:color w:val="auto"/>
                <w:kern w:val="0"/>
                <w:sz w:val="18"/>
                <w:szCs w:val="18"/>
                <w:u w:val="none"/>
                <w:lang w:val="en-US" w:eastAsia="zh-CN" w:bidi="ar"/>
              </w:rPr>
            </w:pPr>
          </w:p>
        </w:tc>
      </w:tr>
      <w:tr w14:paraId="3461AC7E">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460DB315">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工伤保险基金</w:t>
            </w:r>
          </w:p>
        </w:tc>
        <w:tc>
          <w:tcPr>
            <w:tcW w:w="1000" w:type="dxa"/>
            <w:tcBorders>
              <w:top w:val="nil"/>
              <w:left w:val="nil"/>
              <w:bottom w:val="single" w:color="auto" w:sz="8" w:space="0"/>
              <w:right w:val="single" w:color="auto" w:sz="8" w:space="0"/>
            </w:tcBorders>
            <w:noWrap/>
            <w:vAlign w:val="center"/>
          </w:tcPr>
          <w:p w14:paraId="3B48F52E">
            <w:pPr>
              <w:jc w:val="center"/>
              <w:rPr>
                <w:rFonts w:hint="eastAsia" w:ascii="Times New Roman" w:hAnsi="Times New Roman" w:eastAsia="宋体" w:cs="宋体"/>
                <w:color w:val="auto"/>
                <w:kern w:val="0"/>
                <w:sz w:val="18"/>
                <w:szCs w:val="18"/>
              </w:rPr>
            </w:pPr>
          </w:p>
        </w:tc>
        <w:tc>
          <w:tcPr>
            <w:tcW w:w="947" w:type="dxa"/>
            <w:tcBorders>
              <w:top w:val="nil"/>
              <w:left w:val="nil"/>
              <w:bottom w:val="single" w:color="auto" w:sz="8" w:space="0"/>
              <w:right w:val="single" w:color="auto" w:sz="8" w:space="0"/>
            </w:tcBorders>
            <w:noWrap/>
            <w:vAlign w:val="center"/>
          </w:tcPr>
          <w:p w14:paraId="732CFB1A">
            <w:pPr>
              <w:jc w:val="center"/>
              <w:rPr>
                <w:rFonts w:hint="eastAsia" w:ascii="Times New Roman" w:hAnsi="Times New Roman" w:eastAsia="宋体" w:cs="宋体"/>
                <w:color w:val="auto"/>
                <w:kern w:val="0"/>
                <w:sz w:val="18"/>
                <w:szCs w:val="18"/>
                <w:lang w:val="en-US" w:eastAsia="zh-CN"/>
              </w:rPr>
            </w:pPr>
          </w:p>
        </w:tc>
        <w:tc>
          <w:tcPr>
            <w:tcW w:w="1069" w:type="dxa"/>
            <w:tcBorders>
              <w:top w:val="nil"/>
              <w:left w:val="nil"/>
              <w:bottom w:val="single" w:color="auto" w:sz="8" w:space="0"/>
              <w:right w:val="single" w:color="auto" w:sz="8" w:space="0"/>
            </w:tcBorders>
            <w:noWrap/>
            <w:vAlign w:val="center"/>
          </w:tcPr>
          <w:p w14:paraId="0E64BEC6">
            <w:pPr>
              <w:jc w:val="center"/>
              <w:rPr>
                <w:rFonts w:hint="eastAsia" w:ascii="Times New Roman" w:hAnsi="Times New Roman" w:eastAsia="宋体" w:cs="宋体"/>
                <w:color w:val="auto"/>
                <w:kern w:val="0"/>
                <w:sz w:val="18"/>
                <w:szCs w:val="18"/>
              </w:rPr>
            </w:pPr>
          </w:p>
        </w:tc>
        <w:tc>
          <w:tcPr>
            <w:tcW w:w="3209" w:type="dxa"/>
            <w:tcBorders>
              <w:top w:val="nil"/>
              <w:left w:val="nil"/>
              <w:bottom w:val="single" w:color="auto" w:sz="8" w:space="0"/>
              <w:right w:val="single" w:color="auto" w:sz="8" w:space="0"/>
            </w:tcBorders>
            <w:noWrap/>
            <w:vAlign w:val="center"/>
          </w:tcPr>
          <w:p w14:paraId="3E008211">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工伤保险基金</w:t>
            </w:r>
          </w:p>
        </w:tc>
        <w:tc>
          <w:tcPr>
            <w:tcW w:w="992" w:type="dxa"/>
            <w:tcBorders>
              <w:top w:val="nil"/>
              <w:left w:val="nil"/>
              <w:bottom w:val="single" w:color="auto" w:sz="8" w:space="0"/>
              <w:right w:val="single" w:color="auto" w:sz="8" w:space="0"/>
            </w:tcBorders>
            <w:noWrap/>
            <w:vAlign w:val="center"/>
          </w:tcPr>
          <w:p w14:paraId="529A738D">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tcBorders>
              <w:top w:val="nil"/>
              <w:left w:val="nil"/>
              <w:bottom w:val="single" w:color="auto" w:sz="8" w:space="0"/>
              <w:right w:val="single" w:color="auto" w:sz="8" w:space="0"/>
            </w:tcBorders>
            <w:noWrap/>
            <w:vAlign w:val="center"/>
          </w:tcPr>
          <w:p w14:paraId="03F5B221">
            <w:pPr>
              <w:jc w:val="center"/>
              <w:rPr>
                <w:rFonts w:hint="default" w:ascii="Times New Roman" w:hAnsi="Times New Roman" w:eastAsia="宋体" w:cs="宋体"/>
                <w:i w:val="0"/>
                <w:iCs w:val="0"/>
                <w:color w:val="auto"/>
                <w:kern w:val="0"/>
                <w:sz w:val="18"/>
                <w:szCs w:val="18"/>
                <w:u w:val="none"/>
                <w:lang w:val="en-US" w:eastAsia="zh-CN" w:bidi="ar"/>
              </w:rPr>
            </w:pPr>
          </w:p>
        </w:tc>
        <w:tc>
          <w:tcPr>
            <w:tcW w:w="1005" w:type="dxa"/>
            <w:tcBorders>
              <w:top w:val="nil"/>
              <w:left w:val="nil"/>
              <w:bottom w:val="single" w:color="auto" w:sz="8" w:space="0"/>
              <w:right w:val="single" w:color="auto" w:sz="8" w:space="0"/>
            </w:tcBorders>
            <w:noWrap/>
            <w:vAlign w:val="center"/>
          </w:tcPr>
          <w:p w14:paraId="6D81C408">
            <w:pPr>
              <w:jc w:val="center"/>
              <w:rPr>
                <w:rFonts w:hint="eastAsia" w:ascii="Times New Roman" w:hAnsi="Times New Roman" w:eastAsia="宋体" w:cs="宋体"/>
                <w:i w:val="0"/>
                <w:iCs w:val="0"/>
                <w:color w:val="auto"/>
                <w:kern w:val="0"/>
                <w:sz w:val="18"/>
                <w:szCs w:val="18"/>
                <w:u w:val="none"/>
                <w:lang w:val="en-US" w:eastAsia="zh-CN" w:bidi="ar"/>
              </w:rPr>
            </w:pPr>
          </w:p>
        </w:tc>
      </w:tr>
      <w:tr w14:paraId="06A7F927">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27F0BACC">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失业保险基金</w:t>
            </w:r>
          </w:p>
        </w:tc>
        <w:tc>
          <w:tcPr>
            <w:tcW w:w="1000" w:type="dxa"/>
            <w:tcBorders>
              <w:top w:val="nil"/>
              <w:left w:val="nil"/>
              <w:bottom w:val="single" w:color="auto" w:sz="8" w:space="0"/>
              <w:right w:val="single" w:color="auto" w:sz="8" w:space="0"/>
            </w:tcBorders>
            <w:noWrap/>
            <w:vAlign w:val="center"/>
          </w:tcPr>
          <w:p w14:paraId="55D496F7">
            <w:pPr>
              <w:jc w:val="center"/>
              <w:rPr>
                <w:rFonts w:hint="eastAsia" w:ascii="Times New Roman" w:hAnsi="Times New Roman" w:eastAsia="宋体" w:cs="宋体"/>
                <w:color w:val="auto"/>
                <w:kern w:val="0"/>
                <w:sz w:val="18"/>
                <w:szCs w:val="18"/>
              </w:rPr>
            </w:pPr>
          </w:p>
        </w:tc>
        <w:tc>
          <w:tcPr>
            <w:tcW w:w="947" w:type="dxa"/>
            <w:tcBorders>
              <w:top w:val="nil"/>
              <w:left w:val="nil"/>
              <w:bottom w:val="single" w:color="auto" w:sz="8" w:space="0"/>
              <w:right w:val="single" w:color="auto" w:sz="8" w:space="0"/>
            </w:tcBorders>
            <w:noWrap/>
            <w:vAlign w:val="center"/>
          </w:tcPr>
          <w:p w14:paraId="5085EFAA">
            <w:pPr>
              <w:jc w:val="center"/>
              <w:rPr>
                <w:rFonts w:hint="eastAsia" w:ascii="Times New Roman" w:hAnsi="Times New Roman" w:eastAsia="宋体" w:cs="宋体"/>
                <w:color w:val="auto"/>
                <w:kern w:val="0"/>
                <w:sz w:val="18"/>
                <w:szCs w:val="18"/>
              </w:rPr>
            </w:pPr>
          </w:p>
        </w:tc>
        <w:tc>
          <w:tcPr>
            <w:tcW w:w="1069" w:type="dxa"/>
            <w:tcBorders>
              <w:top w:val="nil"/>
              <w:left w:val="nil"/>
              <w:bottom w:val="single" w:color="auto" w:sz="8" w:space="0"/>
              <w:right w:val="single" w:color="auto" w:sz="8" w:space="0"/>
            </w:tcBorders>
            <w:noWrap/>
            <w:vAlign w:val="center"/>
          </w:tcPr>
          <w:p w14:paraId="4EFF8D45">
            <w:pPr>
              <w:jc w:val="center"/>
              <w:rPr>
                <w:rFonts w:hint="eastAsia" w:ascii="Times New Roman" w:hAnsi="Times New Roman" w:eastAsia="宋体" w:cs="宋体"/>
                <w:color w:val="auto"/>
                <w:kern w:val="0"/>
                <w:sz w:val="18"/>
                <w:szCs w:val="18"/>
              </w:rPr>
            </w:pPr>
          </w:p>
        </w:tc>
        <w:tc>
          <w:tcPr>
            <w:tcW w:w="3209" w:type="dxa"/>
            <w:tcBorders>
              <w:top w:val="nil"/>
              <w:left w:val="nil"/>
              <w:bottom w:val="single" w:color="auto" w:sz="8" w:space="0"/>
              <w:right w:val="single" w:color="auto" w:sz="8" w:space="0"/>
            </w:tcBorders>
            <w:noWrap/>
            <w:vAlign w:val="center"/>
          </w:tcPr>
          <w:p w14:paraId="56440925">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失业保险基金</w:t>
            </w:r>
          </w:p>
        </w:tc>
        <w:tc>
          <w:tcPr>
            <w:tcW w:w="992" w:type="dxa"/>
            <w:tcBorders>
              <w:top w:val="nil"/>
              <w:left w:val="nil"/>
              <w:bottom w:val="single" w:color="auto" w:sz="8" w:space="0"/>
              <w:right w:val="single" w:color="auto" w:sz="8" w:space="0"/>
            </w:tcBorders>
            <w:noWrap/>
            <w:vAlign w:val="center"/>
          </w:tcPr>
          <w:p w14:paraId="754E2980">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tcBorders>
              <w:top w:val="nil"/>
              <w:left w:val="nil"/>
              <w:bottom w:val="single" w:color="auto" w:sz="8" w:space="0"/>
              <w:right w:val="single" w:color="auto" w:sz="8" w:space="0"/>
            </w:tcBorders>
            <w:noWrap/>
            <w:vAlign w:val="center"/>
          </w:tcPr>
          <w:p w14:paraId="79E1F2E4">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tcBorders>
              <w:top w:val="nil"/>
              <w:left w:val="nil"/>
              <w:bottom w:val="single" w:color="auto" w:sz="8" w:space="0"/>
              <w:right w:val="single" w:color="auto" w:sz="8" w:space="0"/>
            </w:tcBorders>
            <w:noWrap/>
            <w:vAlign w:val="center"/>
          </w:tcPr>
          <w:p w14:paraId="2CA375D1">
            <w:pPr>
              <w:jc w:val="center"/>
              <w:rPr>
                <w:rFonts w:hint="eastAsia" w:ascii="Times New Roman" w:hAnsi="Times New Roman" w:eastAsia="宋体" w:cs="宋体"/>
                <w:i w:val="0"/>
                <w:iCs w:val="0"/>
                <w:color w:val="auto"/>
                <w:kern w:val="0"/>
                <w:sz w:val="18"/>
                <w:szCs w:val="18"/>
                <w:u w:val="none"/>
                <w:lang w:val="en-US" w:eastAsia="zh-CN" w:bidi="ar"/>
              </w:rPr>
            </w:pPr>
          </w:p>
        </w:tc>
      </w:tr>
      <w:tr w14:paraId="356DE849">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71FEAD3C">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二、历年滚存结余</w:t>
            </w:r>
          </w:p>
        </w:tc>
        <w:tc>
          <w:tcPr>
            <w:tcW w:w="1000" w:type="dxa"/>
            <w:tcBorders>
              <w:top w:val="nil"/>
              <w:left w:val="nil"/>
              <w:bottom w:val="single" w:color="auto" w:sz="8" w:space="0"/>
              <w:right w:val="single" w:color="auto" w:sz="8" w:space="0"/>
            </w:tcBorders>
            <w:noWrap/>
            <w:vAlign w:val="center"/>
          </w:tcPr>
          <w:p w14:paraId="4B89ACE7">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55923</w:t>
            </w:r>
          </w:p>
        </w:tc>
        <w:tc>
          <w:tcPr>
            <w:tcW w:w="947" w:type="dxa"/>
            <w:tcBorders>
              <w:top w:val="nil"/>
              <w:left w:val="nil"/>
              <w:bottom w:val="single" w:color="auto" w:sz="8" w:space="0"/>
              <w:right w:val="single" w:color="auto" w:sz="8" w:space="0"/>
            </w:tcBorders>
            <w:noWrap/>
            <w:vAlign w:val="center"/>
          </w:tcPr>
          <w:p w14:paraId="37180B8D">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55924</w:t>
            </w:r>
          </w:p>
        </w:tc>
        <w:tc>
          <w:tcPr>
            <w:tcW w:w="1069" w:type="dxa"/>
            <w:tcBorders>
              <w:top w:val="nil"/>
              <w:left w:val="nil"/>
              <w:bottom w:val="single" w:color="auto" w:sz="8" w:space="0"/>
              <w:right w:val="single" w:color="auto" w:sz="8" w:space="0"/>
            </w:tcBorders>
            <w:noWrap/>
            <w:vAlign w:val="center"/>
          </w:tcPr>
          <w:p w14:paraId="6A94FA6F">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c>
          <w:tcPr>
            <w:tcW w:w="3209" w:type="dxa"/>
            <w:tcBorders>
              <w:top w:val="nil"/>
              <w:left w:val="nil"/>
              <w:bottom w:val="single" w:color="auto" w:sz="8" w:space="0"/>
              <w:right w:val="single" w:color="auto" w:sz="8" w:space="0"/>
            </w:tcBorders>
            <w:noWrap/>
            <w:vAlign w:val="center"/>
          </w:tcPr>
          <w:p w14:paraId="6390E650">
            <w:pPr>
              <w:jc w:val="both"/>
              <w:rPr>
                <w:rFonts w:ascii="Times New Roman" w:hAnsi="Times New Roman"/>
                <w:color w:val="auto"/>
                <w:kern w:val="0"/>
                <w:sz w:val="18"/>
                <w:szCs w:val="18"/>
              </w:rPr>
            </w:pPr>
          </w:p>
        </w:tc>
        <w:tc>
          <w:tcPr>
            <w:tcW w:w="992" w:type="dxa"/>
            <w:tcBorders>
              <w:top w:val="nil"/>
              <w:left w:val="nil"/>
              <w:bottom w:val="single" w:color="auto" w:sz="8" w:space="0"/>
              <w:right w:val="single" w:color="auto" w:sz="8" w:space="0"/>
            </w:tcBorders>
            <w:noWrap/>
            <w:vAlign w:val="center"/>
          </w:tcPr>
          <w:p w14:paraId="7EF59265">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tcBorders>
              <w:top w:val="nil"/>
              <w:left w:val="nil"/>
              <w:bottom w:val="single" w:color="auto" w:sz="8" w:space="0"/>
              <w:right w:val="single" w:color="auto" w:sz="8" w:space="0"/>
            </w:tcBorders>
            <w:noWrap/>
            <w:vAlign w:val="center"/>
          </w:tcPr>
          <w:p w14:paraId="6BE42290">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tcBorders>
              <w:top w:val="nil"/>
              <w:left w:val="nil"/>
              <w:bottom w:val="single" w:color="auto" w:sz="8" w:space="0"/>
              <w:right w:val="single" w:color="auto" w:sz="8" w:space="0"/>
            </w:tcBorders>
            <w:noWrap/>
            <w:vAlign w:val="center"/>
          </w:tcPr>
          <w:p w14:paraId="209B2BBE">
            <w:pPr>
              <w:jc w:val="center"/>
              <w:rPr>
                <w:rFonts w:hint="eastAsia" w:ascii="Times New Roman" w:hAnsi="Times New Roman" w:eastAsia="宋体" w:cs="宋体"/>
                <w:i w:val="0"/>
                <w:iCs w:val="0"/>
                <w:color w:val="auto"/>
                <w:kern w:val="0"/>
                <w:sz w:val="18"/>
                <w:szCs w:val="18"/>
                <w:u w:val="none"/>
                <w:lang w:val="en-US" w:eastAsia="zh-CN" w:bidi="ar"/>
              </w:rPr>
            </w:pPr>
          </w:p>
        </w:tc>
      </w:tr>
      <w:tr w14:paraId="7982312C">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0A9E455F">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收入合计</w:t>
            </w:r>
          </w:p>
        </w:tc>
        <w:tc>
          <w:tcPr>
            <w:tcW w:w="1000" w:type="dxa"/>
            <w:tcBorders>
              <w:top w:val="nil"/>
              <w:left w:val="nil"/>
              <w:bottom w:val="single" w:color="auto" w:sz="8" w:space="0"/>
              <w:right w:val="single" w:color="auto" w:sz="8" w:space="0"/>
            </w:tcBorders>
            <w:noWrap/>
            <w:vAlign w:val="center"/>
          </w:tcPr>
          <w:p w14:paraId="25DE16C3">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118479</w:t>
            </w:r>
          </w:p>
        </w:tc>
        <w:tc>
          <w:tcPr>
            <w:tcW w:w="947" w:type="dxa"/>
            <w:tcBorders>
              <w:top w:val="nil"/>
              <w:left w:val="nil"/>
              <w:bottom w:val="single" w:color="auto" w:sz="8" w:space="0"/>
              <w:right w:val="single" w:color="auto" w:sz="8" w:space="0"/>
            </w:tcBorders>
            <w:noWrap/>
            <w:vAlign w:val="center"/>
          </w:tcPr>
          <w:p w14:paraId="7BC9FE41">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121302</w:t>
            </w:r>
          </w:p>
        </w:tc>
        <w:tc>
          <w:tcPr>
            <w:tcW w:w="1069" w:type="dxa"/>
            <w:tcBorders>
              <w:top w:val="nil"/>
              <w:left w:val="nil"/>
              <w:bottom w:val="single" w:color="auto" w:sz="8" w:space="0"/>
              <w:right w:val="single" w:color="auto" w:sz="8" w:space="0"/>
            </w:tcBorders>
            <w:noWrap/>
            <w:vAlign w:val="center"/>
          </w:tcPr>
          <w:p w14:paraId="1CAB27D2">
            <w:pPr>
              <w:keepNext w:val="0"/>
              <w:keepLines w:val="0"/>
              <w:widowControl/>
              <w:suppressLineNumbers w:val="0"/>
              <w:jc w:val="center"/>
              <w:textAlignment w:val="center"/>
              <w:rPr>
                <w:rFonts w:hint="eastAsia" w:ascii="Times New Roman" w:hAnsi="Times New Roman" w:eastAsia="宋体"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102.38%</w:t>
            </w:r>
          </w:p>
        </w:tc>
        <w:tc>
          <w:tcPr>
            <w:tcW w:w="3209" w:type="dxa"/>
            <w:tcBorders>
              <w:top w:val="nil"/>
              <w:left w:val="nil"/>
              <w:bottom w:val="single" w:color="auto" w:sz="8" w:space="0"/>
              <w:right w:val="single" w:color="auto" w:sz="8" w:space="0"/>
            </w:tcBorders>
            <w:noWrap/>
            <w:vAlign w:val="center"/>
          </w:tcPr>
          <w:p w14:paraId="7E47830F">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支出合计</w:t>
            </w:r>
          </w:p>
        </w:tc>
        <w:tc>
          <w:tcPr>
            <w:tcW w:w="992" w:type="dxa"/>
            <w:tcBorders>
              <w:top w:val="nil"/>
              <w:left w:val="nil"/>
              <w:bottom w:val="single" w:color="auto" w:sz="8" w:space="0"/>
              <w:right w:val="single" w:color="auto" w:sz="8" w:space="0"/>
            </w:tcBorders>
            <w:noWrap/>
            <w:vAlign w:val="center"/>
          </w:tcPr>
          <w:p w14:paraId="62B7295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55015</w:t>
            </w:r>
          </w:p>
        </w:tc>
        <w:tc>
          <w:tcPr>
            <w:tcW w:w="810" w:type="dxa"/>
            <w:tcBorders>
              <w:top w:val="nil"/>
              <w:left w:val="nil"/>
              <w:bottom w:val="single" w:color="auto" w:sz="8" w:space="0"/>
              <w:right w:val="single" w:color="auto" w:sz="8" w:space="0"/>
            </w:tcBorders>
            <w:noWrap/>
            <w:vAlign w:val="center"/>
          </w:tcPr>
          <w:p w14:paraId="63C4ABE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54917</w:t>
            </w:r>
          </w:p>
        </w:tc>
        <w:tc>
          <w:tcPr>
            <w:tcW w:w="1005" w:type="dxa"/>
            <w:tcBorders>
              <w:top w:val="nil"/>
              <w:left w:val="nil"/>
              <w:bottom w:val="single" w:color="auto" w:sz="8" w:space="0"/>
              <w:right w:val="single" w:color="auto" w:sz="8" w:space="0"/>
            </w:tcBorders>
            <w:noWrap/>
            <w:vAlign w:val="center"/>
          </w:tcPr>
          <w:p w14:paraId="454AF28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99.82%</w:t>
            </w:r>
          </w:p>
        </w:tc>
      </w:tr>
      <w:tr w14:paraId="29E1EE3B">
        <w:tblPrEx>
          <w:tblCellMar>
            <w:top w:w="0" w:type="dxa"/>
            <w:left w:w="108" w:type="dxa"/>
            <w:bottom w:w="0" w:type="dxa"/>
            <w:right w:w="108" w:type="dxa"/>
          </w:tblCellMar>
        </w:tblPrEx>
        <w:trPr>
          <w:trHeight w:val="397" w:hRule="atLeast"/>
          <w:jc w:val="center"/>
        </w:trPr>
        <w:tc>
          <w:tcPr>
            <w:tcW w:w="3192" w:type="dxa"/>
            <w:tcBorders>
              <w:top w:val="nil"/>
              <w:left w:val="single" w:color="auto" w:sz="8" w:space="0"/>
              <w:bottom w:val="single" w:color="auto" w:sz="8" w:space="0"/>
              <w:right w:val="single" w:color="auto" w:sz="8" w:space="0"/>
            </w:tcBorders>
            <w:noWrap/>
            <w:vAlign w:val="center"/>
          </w:tcPr>
          <w:p w14:paraId="5F535F80">
            <w:pPr>
              <w:jc w:val="both"/>
              <w:rPr>
                <w:rFonts w:ascii="Times New Roman" w:hAnsi="Times New Roman" w:cs="宋体"/>
                <w:color w:val="auto"/>
                <w:kern w:val="0"/>
                <w:sz w:val="18"/>
                <w:szCs w:val="18"/>
              </w:rPr>
            </w:pPr>
          </w:p>
        </w:tc>
        <w:tc>
          <w:tcPr>
            <w:tcW w:w="1000" w:type="dxa"/>
            <w:tcBorders>
              <w:top w:val="nil"/>
              <w:left w:val="nil"/>
              <w:bottom w:val="single" w:color="auto" w:sz="8" w:space="0"/>
              <w:right w:val="single" w:color="auto" w:sz="8" w:space="0"/>
            </w:tcBorders>
            <w:noWrap/>
            <w:vAlign w:val="center"/>
          </w:tcPr>
          <w:p w14:paraId="3EA32D72">
            <w:pPr>
              <w:jc w:val="left"/>
              <w:rPr>
                <w:rFonts w:ascii="Times New Roman" w:hAnsi="Times New Roman" w:cs="宋体"/>
                <w:color w:val="auto"/>
                <w:kern w:val="0"/>
                <w:sz w:val="18"/>
                <w:szCs w:val="18"/>
              </w:rPr>
            </w:pPr>
          </w:p>
        </w:tc>
        <w:tc>
          <w:tcPr>
            <w:tcW w:w="947" w:type="dxa"/>
            <w:tcBorders>
              <w:top w:val="nil"/>
              <w:left w:val="nil"/>
              <w:bottom w:val="single" w:color="auto" w:sz="8" w:space="0"/>
              <w:right w:val="single" w:color="auto" w:sz="8" w:space="0"/>
            </w:tcBorders>
            <w:noWrap/>
            <w:vAlign w:val="center"/>
          </w:tcPr>
          <w:p w14:paraId="068F2E24">
            <w:pPr>
              <w:jc w:val="left"/>
              <w:rPr>
                <w:rFonts w:ascii="Times New Roman" w:hAnsi="Times New Roman" w:cs="宋体"/>
                <w:color w:val="auto"/>
                <w:kern w:val="0"/>
                <w:sz w:val="18"/>
                <w:szCs w:val="18"/>
              </w:rPr>
            </w:pPr>
          </w:p>
        </w:tc>
        <w:tc>
          <w:tcPr>
            <w:tcW w:w="1069" w:type="dxa"/>
            <w:tcBorders>
              <w:top w:val="nil"/>
              <w:left w:val="nil"/>
              <w:bottom w:val="single" w:color="auto" w:sz="8" w:space="0"/>
              <w:right w:val="single" w:color="auto" w:sz="8" w:space="0"/>
            </w:tcBorders>
            <w:noWrap/>
            <w:vAlign w:val="center"/>
          </w:tcPr>
          <w:p w14:paraId="3C2C33B3">
            <w:pPr>
              <w:jc w:val="left"/>
              <w:rPr>
                <w:rFonts w:ascii="Times New Roman" w:hAnsi="Times New Roman" w:cs="宋体"/>
                <w:color w:val="auto"/>
                <w:kern w:val="0"/>
                <w:sz w:val="18"/>
                <w:szCs w:val="18"/>
              </w:rPr>
            </w:pPr>
          </w:p>
        </w:tc>
        <w:tc>
          <w:tcPr>
            <w:tcW w:w="3209" w:type="dxa"/>
            <w:tcBorders>
              <w:top w:val="nil"/>
              <w:left w:val="nil"/>
              <w:bottom w:val="single" w:color="auto" w:sz="8" w:space="0"/>
              <w:right w:val="single" w:color="auto" w:sz="8" w:space="0"/>
            </w:tcBorders>
            <w:noWrap/>
            <w:vAlign w:val="center"/>
          </w:tcPr>
          <w:p w14:paraId="393C79F8">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结转下年</w:t>
            </w:r>
          </w:p>
        </w:tc>
        <w:tc>
          <w:tcPr>
            <w:tcW w:w="992" w:type="dxa"/>
            <w:tcBorders>
              <w:top w:val="nil"/>
              <w:left w:val="nil"/>
              <w:bottom w:val="single" w:color="auto" w:sz="8" w:space="0"/>
              <w:right w:val="single" w:color="auto" w:sz="8" w:space="0"/>
            </w:tcBorders>
            <w:noWrap/>
            <w:vAlign w:val="center"/>
          </w:tcPr>
          <w:p w14:paraId="7F8C13F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63464</w:t>
            </w:r>
          </w:p>
        </w:tc>
        <w:tc>
          <w:tcPr>
            <w:tcW w:w="810" w:type="dxa"/>
            <w:tcBorders>
              <w:top w:val="nil"/>
              <w:left w:val="nil"/>
              <w:bottom w:val="single" w:color="auto" w:sz="8" w:space="0"/>
              <w:right w:val="single" w:color="auto" w:sz="8" w:space="0"/>
            </w:tcBorders>
            <w:noWrap/>
            <w:vAlign w:val="center"/>
          </w:tcPr>
          <w:p w14:paraId="1F3A64D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66385</w:t>
            </w:r>
          </w:p>
        </w:tc>
        <w:tc>
          <w:tcPr>
            <w:tcW w:w="1005" w:type="dxa"/>
            <w:tcBorders>
              <w:top w:val="nil"/>
              <w:left w:val="nil"/>
              <w:bottom w:val="single" w:color="auto" w:sz="8" w:space="0"/>
              <w:right w:val="single" w:color="auto" w:sz="8" w:space="0"/>
            </w:tcBorders>
            <w:noWrap/>
            <w:vAlign w:val="center"/>
          </w:tcPr>
          <w:p w14:paraId="2B8145C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104.60%</w:t>
            </w:r>
          </w:p>
        </w:tc>
      </w:tr>
    </w:tbl>
    <w:p w14:paraId="59903A99">
      <w:pPr>
        <w:jc w:val="both"/>
        <w:rPr>
          <w:rFonts w:hint="eastAsia"/>
          <w:sz w:val="24"/>
          <w:szCs w:val="24"/>
        </w:rPr>
      </w:pPr>
    </w:p>
    <w:p w14:paraId="701A2396">
      <w:pPr>
        <w:rPr>
          <w:rFonts w:hint="eastAsia"/>
          <w:lang w:val="en-US" w:eastAsia="zh-CN"/>
        </w:rPr>
        <w:sectPr>
          <w:pgSz w:w="16838" w:h="11906" w:orient="landscape"/>
          <w:pgMar w:top="1587" w:right="2098" w:bottom="1474" w:left="1984" w:header="851" w:footer="992" w:gutter="0"/>
          <w:pgNumType w:fmt="numberInDash"/>
          <w:cols w:space="425" w:num="1"/>
          <w:docGrid w:type="lines" w:linePitch="312" w:charSpace="0"/>
        </w:sectPr>
      </w:pPr>
    </w:p>
    <w:p w14:paraId="37C8658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2-04</w:t>
      </w:r>
    </w:p>
    <w:p w14:paraId="4ECF08F3">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秭归县202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年国有资本经营</w:t>
      </w:r>
      <w:r>
        <w:rPr>
          <w:rFonts w:hint="eastAsia" w:ascii="方正小标宋简体" w:hAnsi="方正小标宋简体" w:eastAsia="方正小标宋简体" w:cs="方正小标宋简体"/>
          <w:sz w:val="44"/>
          <w:szCs w:val="44"/>
          <w:lang w:eastAsia="zh-CN"/>
        </w:rPr>
        <w:t>预算</w:t>
      </w:r>
      <w:r>
        <w:rPr>
          <w:rFonts w:hint="eastAsia" w:ascii="方正小标宋简体" w:hAnsi="方正小标宋简体" w:eastAsia="方正小标宋简体" w:cs="方正小标宋简体"/>
          <w:sz w:val="44"/>
          <w:szCs w:val="44"/>
        </w:rPr>
        <w:t>决算表</w:t>
      </w:r>
    </w:p>
    <w:p w14:paraId="310CD492">
      <w:pPr>
        <w:jc w:val="right"/>
        <w:rPr>
          <w:rFonts w:hint="eastAsia"/>
          <w:sz w:val="24"/>
          <w:szCs w:val="24"/>
        </w:rPr>
      </w:pPr>
      <w:r>
        <w:rPr>
          <w:rFonts w:hint="eastAsia"/>
        </w:rPr>
        <w:t xml:space="preserve">                                                          </w:t>
      </w:r>
      <w:r>
        <w:rPr>
          <w:rFonts w:hint="eastAsia"/>
          <w:sz w:val="24"/>
          <w:szCs w:val="24"/>
          <w:lang w:val="en-US" w:eastAsia="zh-CN"/>
        </w:rPr>
        <w:t xml:space="preserve"> </w:t>
      </w:r>
      <w:r>
        <w:rPr>
          <w:rFonts w:hint="eastAsia"/>
          <w:sz w:val="24"/>
          <w:szCs w:val="24"/>
        </w:rPr>
        <w:t>单位：万元</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8"/>
        <w:gridCol w:w="1005"/>
        <w:gridCol w:w="1020"/>
        <w:gridCol w:w="1020"/>
        <w:gridCol w:w="3960"/>
        <w:gridCol w:w="945"/>
        <w:gridCol w:w="810"/>
        <w:gridCol w:w="1005"/>
      </w:tblGrid>
      <w:tr w14:paraId="2B216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23" w:type="dxa"/>
            <w:gridSpan w:val="4"/>
            <w:noWrap w:val="0"/>
            <w:vAlign w:val="center"/>
          </w:tcPr>
          <w:p w14:paraId="540F3A73">
            <w:pPr>
              <w:pStyle w:val="7"/>
              <w:spacing w:before="0" w:after="0" w:line="380" w:lineRule="exact"/>
              <w:jc w:val="center"/>
              <w:rPr>
                <w:rFonts w:ascii="Times New Roman" w:hAnsi="Times New Roman"/>
                <w:b/>
                <w:color w:val="auto"/>
              </w:rPr>
            </w:pPr>
            <w:r>
              <w:rPr>
                <w:rFonts w:hint="eastAsia" w:ascii="Times New Roman" w:hAnsi="Times New Roman"/>
                <w:b/>
                <w:color w:val="auto"/>
              </w:rPr>
              <w:t>收     入</w:t>
            </w:r>
          </w:p>
        </w:tc>
        <w:tc>
          <w:tcPr>
            <w:tcW w:w="6720" w:type="dxa"/>
            <w:gridSpan w:val="4"/>
            <w:noWrap w:val="0"/>
            <w:vAlign w:val="center"/>
          </w:tcPr>
          <w:p w14:paraId="31C2EA21">
            <w:pPr>
              <w:pStyle w:val="7"/>
              <w:spacing w:before="0" w:after="0" w:line="380" w:lineRule="exact"/>
              <w:jc w:val="center"/>
              <w:rPr>
                <w:rFonts w:ascii="Times New Roman" w:hAnsi="Times New Roman"/>
                <w:b/>
                <w:color w:val="auto"/>
              </w:rPr>
            </w:pPr>
            <w:r>
              <w:rPr>
                <w:rFonts w:hint="eastAsia" w:ascii="Times New Roman" w:hAnsi="Times New Roman"/>
                <w:b/>
                <w:color w:val="auto"/>
              </w:rPr>
              <w:t>支     出</w:t>
            </w:r>
          </w:p>
        </w:tc>
      </w:tr>
      <w:tr w14:paraId="07743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678" w:type="dxa"/>
            <w:noWrap w:val="0"/>
            <w:vAlign w:val="center"/>
          </w:tcPr>
          <w:p w14:paraId="08B0B3FC">
            <w:pPr>
              <w:pStyle w:val="7"/>
              <w:spacing w:before="0" w:after="0" w:line="380" w:lineRule="exact"/>
              <w:jc w:val="center"/>
              <w:rPr>
                <w:rFonts w:ascii="Times New Roman" w:hAnsi="Times New Roman"/>
                <w:color w:val="auto"/>
                <w:sz w:val="18"/>
                <w:szCs w:val="18"/>
              </w:rPr>
            </w:pPr>
            <w:r>
              <w:rPr>
                <w:rFonts w:hint="eastAsia" w:ascii="Times New Roman" w:hAnsi="Times New Roman"/>
                <w:color w:val="auto"/>
                <w:sz w:val="18"/>
                <w:szCs w:val="18"/>
              </w:rPr>
              <w:t>项    目</w:t>
            </w:r>
          </w:p>
        </w:tc>
        <w:tc>
          <w:tcPr>
            <w:tcW w:w="1005" w:type="dxa"/>
            <w:noWrap w:val="0"/>
            <w:vAlign w:val="center"/>
          </w:tcPr>
          <w:p w14:paraId="3FF9BA30">
            <w:pPr>
              <w:widowControl/>
              <w:jc w:val="center"/>
              <w:rPr>
                <w:rFonts w:ascii="Times New Roman" w:hAnsi="Times New Roman"/>
                <w:color w:val="auto"/>
                <w:sz w:val="18"/>
                <w:szCs w:val="18"/>
              </w:rPr>
            </w:pPr>
            <w:r>
              <w:rPr>
                <w:rFonts w:hint="eastAsia" w:ascii="Times New Roman" w:hAnsi="Times New Roman" w:cs="宋体"/>
                <w:color w:val="auto"/>
                <w:kern w:val="0"/>
                <w:sz w:val="18"/>
                <w:szCs w:val="18"/>
                <w:lang w:eastAsia="zh-CN"/>
              </w:rPr>
              <w:t>执行数</w:t>
            </w:r>
          </w:p>
        </w:tc>
        <w:tc>
          <w:tcPr>
            <w:tcW w:w="1020" w:type="dxa"/>
            <w:noWrap w:val="0"/>
            <w:vAlign w:val="center"/>
          </w:tcPr>
          <w:p w14:paraId="5FE3AA6C">
            <w:pPr>
              <w:widowControl/>
              <w:jc w:val="center"/>
              <w:rPr>
                <w:rFonts w:ascii="Times New Roman" w:hAnsi="Times New Roman"/>
                <w:color w:val="auto"/>
                <w:sz w:val="18"/>
                <w:szCs w:val="18"/>
              </w:rPr>
            </w:pPr>
            <w:r>
              <w:rPr>
                <w:rFonts w:hint="eastAsia" w:ascii="Times New Roman" w:hAnsi="Times New Roman" w:cs="宋体"/>
                <w:color w:val="auto"/>
                <w:kern w:val="0"/>
                <w:sz w:val="18"/>
                <w:szCs w:val="18"/>
              </w:rPr>
              <w:t>决算数</w:t>
            </w:r>
          </w:p>
        </w:tc>
        <w:tc>
          <w:tcPr>
            <w:tcW w:w="1020" w:type="dxa"/>
            <w:noWrap w:val="0"/>
            <w:vAlign w:val="center"/>
          </w:tcPr>
          <w:p w14:paraId="5D0533BD">
            <w:pPr>
              <w:widowControl/>
              <w:jc w:val="center"/>
              <w:rPr>
                <w:rFonts w:ascii="Times New Roman" w:hAnsi="Times New Roman"/>
                <w:color w:val="auto"/>
                <w:sz w:val="18"/>
                <w:szCs w:val="18"/>
              </w:rPr>
            </w:pPr>
            <w:r>
              <w:rPr>
                <w:rFonts w:hint="eastAsia" w:ascii="Times New Roman" w:hAnsi="Times New Roman" w:cs="宋体"/>
                <w:color w:val="auto"/>
                <w:kern w:val="0"/>
                <w:sz w:val="18"/>
                <w:szCs w:val="18"/>
              </w:rPr>
              <w:t>占</w:t>
            </w:r>
            <w:r>
              <w:rPr>
                <w:rFonts w:hint="eastAsia" w:ascii="Times New Roman" w:hAnsi="Times New Roman" w:cs="宋体"/>
                <w:color w:val="auto"/>
                <w:kern w:val="0"/>
                <w:sz w:val="18"/>
                <w:szCs w:val="18"/>
                <w:lang w:eastAsia="zh-CN"/>
              </w:rPr>
              <w:t>执行数</w:t>
            </w:r>
            <w:r>
              <w:rPr>
                <w:rFonts w:hint="eastAsia" w:ascii="Times New Roman" w:hAnsi="Times New Roman" w:cs="宋体"/>
                <w:color w:val="auto"/>
                <w:kern w:val="0"/>
                <w:sz w:val="18"/>
                <w:szCs w:val="18"/>
              </w:rPr>
              <w:t>%</w:t>
            </w:r>
          </w:p>
        </w:tc>
        <w:tc>
          <w:tcPr>
            <w:tcW w:w="3960" w:type="dxa"/>
            <w:noWrap w:val="0"/>
            <w:vAlign w:val="center"/>
          </w:tcPr>
          <w:p w14:paraId="4B05D282">
            <w:pPr>
              <w:pStyle w:val="7"/>
              <w:spacing w:before="0" w:after="0" w:line="380" w:lineRule="exact"/>
              <w:jc w:val="center"/>
              <w:rPr>
                <w:rFonts w:ascii="Times New Roman" w:hAnsi="Times New Roman"/>
                <w:color w:val="auto"/>
                <w:sz w:val="18"/>
                <w:szCs w:val="18"/>
              </w:rPr>
            </w:pPr>
            <w:r>
              <w:rPr>
                <w:rFonts w:hint="eastAsia" w:ascii="Times New Roman" w:hAnsi="Times New Roman"/>
                <w:color w:val="auto"/>
                <w:sz w:val="18"/>
                <w:szCs w:val="18"/>
              </w:rPr>
              <w:t>项    目</w:t>
            </w:r>
          </w:p>
        </w:tc>
        <w:tc>
          <w:tcPr>
            <w:tcW w:w="945" w:type="dxa"/>
            <w:noWrap w:val="0"/>
            <w:vAlign w:val="center"/>
          </w:tcPr>
          <w:p w14:paraId="431551DC">
            <w:pPr>
              <w:widowControl/>
              <w:jc w:val="center"/>
              <w:rPr>
                <w:rFonts w:ascii="Times New Roman" w:hAnsi="Times New Roman"/>
                <w:color w:val="auto"/>
                <w:sz w:val="18"/>
                <w:szCs w:val="18"/>
              </w:rPr>
            </w:pPr>
            <w:r>
              <w:rPr>
                <w:rFonts w:hint="eastAsia" w:ascii="Times New Roman" w:hAnsi="Times New Roman" w:cs="宋体"/>
                <w:color w:val="auto"/>
                <w:kern w:val="0"/>
                <w:sz w:val="18"/>
                <w:szCs w:val="18"/>
                <w:lang w:eastAsia="zh-CN"/>
              </w:rPr>
              <w:t>执行数</w:t>
            </w:r>
          </w:p>
        </w:tc>
        <w:tc>
          <w:tcPr>
            <w:tcW w:w="810" w:type="dxa"/>
            <w:noWrap w:val="0"/>
            <w:vAlign w:val="center"/>
          </w:tcPr>
          <w:p w14:paraId="3AF305C5">
            <w:pPr>
              <w:widowControl/>
              <w:jc w:val="center"/>
              <w:rPr>
                <w:rFonts w:ascii="Times New Roman" w:hAnsi="Times New Roman"/>
                <w:color w:val="auto"/>
                <w:sz w:val="18"/>
                <w:szCs w:val="18"/>
              </w:rPr>
            </w:pPr>
            <w:r>
              <w:rPr>
                <w:rFonts w:hint="eastAsia" w:ascii="Times New Roman" w:hAnsi="Times New Roman" w:cs="宋体"/>
                <w:color w:val="auto"/>
                <w:kern w:val="0"/>
                <w:sz w:val="18"/>
                <w:szCs w:val="18"/>
              </w:rPr>
              <w:t>决算数</w:t>
            </w:r>
          </w:p>
        </w:tc>
        <w:tc>
          <w:tcPr>
            <w:tcW w:w="1005" w:type="dxa"/>
            <w:noWrap w:val="0"/>
            <w:vAlign w:val="center"/>
          </w:tcPr>
          <w:p w14:paraId="22BF0763">
            <w:pPr>
              <w:widowControl/>
              <w:jc w:val="center"/>
              <w:rPr>
                <w:rFonts w:ascii="Times New Roman" w:hAnsi="Times New Roman"/>
                <w:color w:val="auto"/>
                <w:sz w:val="18"/>
                <w:szCs w:val="18"/>
              </w:rPr>
            </w:pPr>
            <w:r>
              <w:rPr>
                <w:rFonts w:hint="eastAsia" w:ascii="Times New Roman" w:hAnsi="Times New Roman" w:cs="宋体"/>
                <w:color w:val="auto"/>
                <w:kern w:val="0"/>
                <w:sz w:val="18"/>
                <w:szCs w:val="18"/>
              </w:rPr>
              <w:t>占</w:t>
            </w:r>
            <w:r>
              <w:rPr>
                <w:rFonts w:hint="eastAsia" w:ascii="Times New Roman" w:hAnsi="Times New Roman" w:cs="宋体"/>
                <w:color w:val="auto"/>
                <w:kern w:val="0"/>
                <w:sz w:val="18"/>
                <w:szCs w:val="18"/>
                <w:lang w:eastAsia="zh-CN"/>
              </w:rPr>
              <w:t>执行数</w:t>
            </w:r>
            <w:r>
              <w:rPr>
                <w:rFonts w:hint="eastAsia" w:ascii="Times New Roman" w:hAnsi="Times New Roman" w:cs="宋体"/>
                <w:color w:val="auto"/>
                <w:kern w:val="0"/>
                <w:sz w:val="18"/>
                <w:szCs w:val="18"/>
              </w:rPr>
              <w:t>%</w:t>
            </w:r>
          </w:p>
        </w:tc>
      </w:tr>
      <w:tr w14:paraId="24FF6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center"/>
          </w:tcPr>
          <w:p w14:paraId="7F84E0D0">
            <w:pPr>
              <w:keepNext w:val="0"/>
              <w:keepLines w:val="0"/>
              <w:widowControl/>
              <w:suppressLineNumbers w:val="0"/>
              <w:jc w:val="left"/>
              <w:textAlignment w:val="center"/>
              <w:rPr>
                <w:rFonts w:hint="eastAsia" w:ascii="Times New Roman" w:hAnsi="Times New Roman" w:eastAsia="宋体"/>
                <w:color w:val="auto"/>
                <w:sz w:val="18"/>
                <w:szCs w:val="18"/>
                <w:lang w:eastAsia="zh-CN"/>
              </w:rPr>
            </w:pPr>
            <w:r>
              <w:rPr>
                <w:rFonts w:hint="eastAsia" w:ascii="宋体" w:hAnsi="宋体" w:eastAsia="宋体" w:cs="宋体"/>
                <w:i w:val="0"/>
                <w:iCs w:val="0"/>
                <w:color w:val="000000"/>
                <w:kern w:val="0"/>
                <w:sz w:val="18"/>
                <w:szCs w:val="18"/>
                <w:u w:val="none"/>
                <w:lang w:val="en-US" w:eastAsia="zh-CN" w:bidi="ar"/>
              </w:rPr>
              <w:t>一、本级收入</w:t>
            </w:r>
          </w:p>
        </w:tc>
        <w:tc>
          <w:tcPr>
            <w:tcW w:w="1005" w:type="dxa"/>
            <w:noWrap w:val="0"/>
            <w:vAlign w:val="center"/>
          </w:tcPr>
          <w:p w14:paraId="5338375A">
            <w:pPr>
              <w:keepNext w:val="0"/>
              <w:keepLines w:val="0"/>
              <w:widowControl/>
              <w:suppressLineNumbers w:val="0"/>
              <w:jc w:val="center"/>
              <w:textAlignment w:val="center"/>
              <w:rPr>
                <w:rFonts w:hint="default"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5862</w:t>
            </w:r>
          </w:p>
        </w:tc>
        <w:tc>
          <w:tcPr>
            <w:tcW w:w="1020" w:type="dxa"/>
            <w:noWrap w:val="0"/>
            <w:vAlign w:val="center"/>
          </w:tcPr>
          <w:p w14:paraId="59CFE7D9">
            <w:pPr>
              <w:keepNext w:val="0"/>
              <w:keepLines w:val="0"/>
              <w:widowControl/>
              <w:suppressLineNumbers w:val="0"/>
              <w:jc w:val="center"/>
              <w:textAlignment w:val="center"/>
              <w:rPr>
                <w:rFonts w:hint="default"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5862</w:t>
            </w:r>
          </w:p>
        </w:tc>
        <w:tc>
          <w:tcPr>
            <w:tcW w:w="1020" w:type="dxa"/>
            <w:noWrap w:val="0"/>
            <w:vAlign w:val="center"/>
          </w:tcPr>
          <w:p w14:paraId="09F634BA">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100.00%</w:t>
            </w:r>
          </w:p>
        </w:tc>
        <w:tc>
          <w:tcPr>
            <w:tcW w:w="3960" w:type="dxa"/>
            <w:noWrap w:val="0"/>
            <w:vAlign w:val="center"/>
          </w:tcPr>
          <w:p w14:paraId="772584EF">
            <w:pPr>
              <w:keepNext w:val="0"/>
              <w:keepLines w:val="0"/>
              <w:widowControl/>
              <w:suppressLineNumbers w:val="0"/>
              <w:jc w:val="left"/>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一、本级支出</w:t>
            </w:r>
          </w:p>
        </w:tc>
        <w:tc>
          <w:tcPr>
            <w:tcW w:w="945" w:type="dxa"/>
            <w:noWrap w:val="0"/>
            <w:vAlign w:val="center"/>
          </w:tcPr>
          <w:p w14:paraId="3745CF1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3427</w:t>
            </w:r>
          </w:p>
        </w:tc>
        <w:tc>
          <w:tcPr>
            <w:tcW w:w="810" w:type="dxa"/>
            <w:noWrap w:val="0"/>
            <w:vAlign w:val="center"/>
          </w:tcPr>
          <w:p w14:paraId="12CD75B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3427</w:t>
            </w:r>
          </w:p>
        </w:tc>
        <w:tc>
          <w:tcPr>
            <w:tcW w:w="1005" w:type="dxa"/>
            <w:noWrap w:val="0"/>
            <w:vAlign w:val="center"/>
          </w:tcPr>
          <w:p w14:paraId="3D49016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1D922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center"/>
          </w:tcPr>
          <w:p w14:paraId="2C555CC3">
            <w:pPr>
              <w:keepNext w:val="0"/>
              <w:keepLines w:val="0"/>
              <w:widowControl/>
              <w:suppressLineNumbers w:val="0"/>
              <w:jc w:val="left"/>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利润收入</w:t>
            </w:r>
          </w:p>
        </w:tc>
        <w:tc>
          <w:tcPr>
            <w:tcW w:w="1005" w:type="dxa"/>
            <w:noWrap w:val="0"/>
            <w:vAlign w:val="center"/>
          </w:tcPr>
          <w:p w14:paraId="12355A5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233</w:t>
            </w:r>
          </w:p>
        </w:tc>
        <w:tc>
          <w:tcPr>
            <w:tcW w:w="1020" w:type="dxa"/>
            <w:noWrap w:val="0"/>
            <w:vAlign w:val="center"/>
          </w:tcPr>
          <w:p w14:paraId="7D3686C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233</w:t>
            </w:r>
          </w:p>
        </w:tc>
        <w:tc>
          <w:tcPr>
            <w:tcW w:w="1020" w:type="dxa"/>
            <w:noWrap w:val="0"/>
            <w:vAlign w:val="center"/>
          </w:tcPr>
          <w:p w14:paraId="4527F99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c>
          <w:tcPr>
            <w:tcW w:w="3960" w:type="dxa"/>
            <w:noWrap w:val="0"/>
            <w:vAlign w:val="center"/>
          </w:tcPr>
          <w:p w14:paraId="598FE659">
            <w:pPr>
              <w:keepNext w:val="0"/>
              <w:keepLines w:val="0"/>
              <w:widowControl/>
              <w:suppressLineNumbers w:val="0"/>
              <w:jc w:val="left"/>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解决历史遗留问题及改革成本支出</w:t>
            </w:r>
          </w:p>
        </w:tc>
        <w:tc>
          <w:tcPr>
            <w:tcW w:w="945" w:type="dxa"/>
            <w:noWrap w:val="0"/>
            <w:vAlign w:val="center"/>
          </w:tcPr>
          <w:p w14:paraId="3ECB8C4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810" w:type="dxa"/>
            <w:noWrap w:val="0"/>
            <w:vAlign w:val="center"/>
          </w:tcPr>
          <w:p w14:paraId="1B5F772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005" w:type="dxa"/>
            <w:noWrap w:val="0"/>
            <w:vAlign w:val="center"/>
          </w:tcPr>
          <w:p w14:paraId="419276C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58A79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center"/>
          </w:tcPr>
          <w:p w14:paraId="05124892">
            <w:pPr>
              <w:keepNext w:val="0"/>
              <w:keepLines w:val="0"/>
              <w:widowControl/>
              <w:suppressLineNumbers w:val="0"/>
              <w:jc w:val="left"/>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股利、股息收入</w:t>
            </w:r>
          </w:p>
        </w:tc>
        <w:tc>
          <w:tcPr>
            <w:tcW w:w="1005" w:type="dxa"/>
            <w:noWrap w:val="0"/>
            <w:vAlign w:val="center"/>
          </w:tcPr>
          <w:p w14:paraId="0BA8E58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231</w:t>
            </w:r>
          </w:p>
        </w:tc>
        <w:tc>
          <w:tcPr>
            <w:tcW w:w="1020" w:type="dxa"/>
            <w:noWrap w:val="0"/>
            <w:vAlign w:val="center"/>
          </w:tcPr>
          <w:p w14:paraId="057150A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231</w:t>
            </w:r>
          </w:p>
        </w:tc>
        <w:tc>
          <w:tcPr>
            <w:tcW w:w="1020" w:type="dxa"/>
            <w:noWrap w:val="0"/>
            <w:vAlign w:val="center"/>
          </w:tcPr>
          <w:p w14:paraId="2C11EC3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c>
          <w:tcPr>
            <w:tcW w:w="3960" w:type="dxa"/>
            <w:noWrap w:val="0"/>
            <w:vAlign w:val="center"/>
          </w:tcPr>
          <w:p w14:paraId="38D941DD">
            <w:pPr>
              <w:keepNext w:val="0"/>
              <w:keepLines w:val="0"/>
              <w:widowControl/>
              <w:suppressLineNumbers w:val="0"/>
              <w:jc w:val="left"/>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国有企业资本金注入</w:t>
            </w:r>
          </w:p>
        </w:tc>
        <w:tc>
          <w:tcPr>
            <w:tcW w:w="945" w:type="dxa"/>
            <w:noWrap w:val="0"/>
            <w:vAlign w:val="center"/>
          </w:tcPr>
          <w:p w14:paraId="65E5001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3416</w:t>
            </w:r>
          </w:p>
        </w:tc>
        <w:tc>
          <w:tcPr>
            <w:tcW w:w="810" w:type="dxa"/>
            <w:noWrap w:val="0"/>
            <w:vAlign w:val="center"/>
          </w:tcPr>
          <w:p w14:paraId="4C67F7B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3416</w:t>
            </w:r>
          </w:p>
        </w:tc>
        <w:tc>
          <w:tcPr>
            <w:tcW w:w="1005" w:type="dxa"/>
            <w:noWrap w:val="0"/>
            <w:vAlign w:val="center"/>
          </w:tcPr>
          <w:p w14:paraId="29EA552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600E7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678" w:type="dxa"/>
            <w:noWrap w:val="0"/>
            <w:vAlign w:val="center"/>
          </w:tcPr>
          <w:p w14:paraId="4775950E">
            <w:pPr>
              <w:keepNext w:val="0"/>
              <w:keepLines w:val="0"/>
              <w:widowControl/>
              <w:suppressLineNumbers w:val="0"/>
              <w:jc w:val="left"/>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产权转让收入</w:t>
            </w:r>
          </w:p>
        </w:tc>
        <w:tc>
          <w:tcPr>
            <w:tcW w:w="1005" w:type="dxa"/>
            <w:noWrap w:val="0"/>
            <w:vAlign w:val="center"/>
          </w:tcPr>
          <w:p w14:paraId="04D5464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5398</w:t>
            </w:r>
          </w:p>
        </w:tc>
        <w:tc>
          <w:tcPr>
            <w:tcW w:w="1020" w:type="dxa"/>
            <w:noWrap w:val="0"/>
            <w:vAlign w:val="center"/>
          </w:tcPr>
          <w:p w14:paraId="3207969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5398</w:t>
            </w:r>
          </w:p>
        </w:tc>
        <w:tc>
          <w:tcPr>
            <w:tcW w:w="1020" w:type="dxa"/>
            <w:noWrap w:val="0"/>
            <w:vAlign w:val="center"/>
          </w:tcPr>
          <w:p w14:paraId="098D13A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c>
          <w:tcPr>
            <w:tcW w:w="3960" w:type="dxa"/>
            <w:noWrap w:val="0"/>
            <w:vAlign w:val="center"/>
          </w:tcPr>
          <w:p w14:paraId="64C45214">
            <w:pPr>
              <w:keepNext w:val="0"/>
              <w:keepLines w:val="0"/>
              <w:widowControl/>
              <w:suppressLineNumbers w:val="0"/>
              <w:jc w:val="left"/>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国有企业政策性补贴</w:t>
            </w:r>
          </w:p>
        </w:tc>
        <w:tc>
          <w:tcPr>
            <w:tcW w:w="945" w:type="dxa"/>
            <w:noWrap w:val="0"/>
            <w:vAlign w:val="center"/>
          </w:tcPr>
          <w:p w14:paraId="20E84B19">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noWrap w:val="0"/>
            <w:vAlign w:val="center"/>
          </w:tcPr>
          <w:p w14:paraId="1FD4C20E">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noWrap w:val="0"/>
            <w:vAlign w:val="center"/>
          </w:tcPr>
          <w:p w14:paraId="3A5EDC7F">
            <w:pPr>
              <w:jc w:val="center"/>
              <w:rPr>
                <w:rFonts w:hint="eastAsia" w:ascii="Times New Roman" w:hAnsi="Times New Roman" w:eastAsia="宋体" w:cs="宋体"/>
                <w:i w:val="0"/>
                <w:iCs w:val="0"/>
                <w:color w:val="auto"/>
                <w:kern w:val="0"/>
                <w:sz w:val="18"/>
                <w:szCs w:val="18"/>
                <w:u w:val="none"/>
                <w:lang w:val="en-US" w:eastAsia="zh-CN" w:bidi="ar"/>
              </w:rPr>
            </w:pPr>
          </w:p>
        </w:tc>
      </w:tr>
      <w:tr w14:paraId="6A0D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center"/>
          </w:tcPr>
          <w:p w14:paraId="06B13C9D">
            <w:pPr>
              <w:keepNext w:val="0"/>
              <w:keepLines w:val="0"/>
              <w:widowControl/>
              <w:suppressLineNumbers w:val="0"/>
              <w:jc w:val="left"/>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清算收入</w:t>
            </w:r>
          </w:p>
        </w:tc>
        <w:tc>
          <w:tcPr>
            <w:tcW w:w="1005" w:type="dxa"/>
            <w:noWrap w:val="0"/>
            <w:vAlign w:val="center"/>
          </w:tcPr>
          <w:p w14:paraId="38E82487">
            <w:pPr>
              <w:jc w:val="center"/>
              <w:rPr>
                <w:rFonts w:hint="eastAsia" w:ascii="Times New Roman" w:hAnsi="Times New Roman" w:eastAsia="宋体" w:cs="宋体"/>
                <w:i w:val="0"/>
                <w:iCs w:val="0"/>
                <w:color w:val="auto"/>
                <w:kern w:val="0"/>
                <w:sz w:val="18"/>
                <w:szCs w:val="18"/>
                <w:u w:val="none"/>
                <w:lang w:val="en-US" w:eastAsia="zh-CN" w:bidi="ar"/>
              </w:rPr>
            </w:pPr>
          </w:p>
        </w:tc>
        <w:tc>
          <w:tcPr>
            <w:tcW w:w="1020" w:type="dxa"/>
            <w:noWrap w:val="0"/>
            <w:vAlign w:val="center"/>
          </w:tcPr>
          <w:p w14:paraId="1F8332F1">
            <w:pPr>
              <w:jc w:val="center"/>
              <w:rPr>
                <w:rFonts w:hint="eastAsia" w:ascii="Times New Roman" w:hAnsi="Times New Roman" w:eastAsia="宋体" w:cs="宋体"/>
                <w:i w:val="0"/>
                <w:iCs w:val="0"/>
                <w:color w:val="auto"/>
                <w:kern w:val="0"/>
                <w:sz w:val="18"/>
                <w:szCs w:val="18"/>
                <w:u w:val="none"/>
                <w:lang w:val="en-US" w:eastAsia="zh-CN" w:bidi="ar"/>
              </w:rPr>
            </w:pPr>
          </w:p>
        </w:tc>
        <w:tc>
          <w:tcPr>
            <w:tcW w:w="1020" w:type="dxa"/>
            <w:noWrap w:val="0"/>
            <w:vAlign w:val="center"/>
          </w:tcPr>
          <w:p w14:paraId="16CE319E">
            <w:pPr>
              <w:jc w:val="center"/>
              <w:rPr>
                <w:rFonts w:hint="eastAsia" w:ascii="Times New Roman" w:hAnsi="Times New Roman" w:eastAsia="宋体" w:cs="宋体"/>
                <w:i w:val="0"/>
                <w:iCs w:val="0"/>
                <w:color w:val="auto"/>
                <w:kern w:val="0"/>
                <w:sz w:val="18"/>
                <w:szCs w:val="18"/>
                <w:u w:val="none"/>
                <w:lang w:val="en-US" w:eastAsia="zh-CN" w:bidi="ar"/>
              </w:rPr>
            </w:pPr>
          </w:p>
        </w:tc>
        <w:tc>
          <w:tcPr>
            <w:tcW w:w="3960" w:type="dxa"/>
            <w:noWrap w:val="0"/>
            <w:vAlign w:val="center"/>
          </w:tcPr>
          <w:p w14:paraId="5A96E2AC">
            <w:pPr>
              <w:keepNext w:val="0"/>
              <w:keepLines w:val="0"/>
              <w:widowControl/>
              <w:suppressLineNumbers w:val="0"/>
              <w:jc w:val="left"/>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其他国有资本经营预算支出</w:t>
            </w:r>
          </w:p>
        </w:tc>
        <w:tc>
          <w:tcPr>
            <w:tcW w:w="945" w:type="dxa"/>
            <w:noWrap w:val="0"/>
            <w:vAlign w:val="center"/>
          </w:tcPr>
          <w:p w14:paraId="336D57C1">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noWrap w:val="0"/>
            <w:vAlign w:val="center"/>
          </w:tcPr>
          <w:p w14:paraId="2272AC96">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noWrap w:val="0"/>
            <w:vAlign w:val="center"/>
          </w:tcPr>
          <w:p w14:paraId="45A5BD52">
            <w:pPr>
              <w:jc w:val="center"/>
              <w:rPr>
                <w:rFonts w:hint="eastAsia" w:ascii="Times New Roman" w:hAnsi="Times New Roman" w:eastAsia="宋体" w:cs="宋体"/>
                <w:i w:val="0"/>
                <w:iCs w:val="0"/>
                <w:color w:val="auto"/>
                <w:kern w:val="0"/>
                <w:sz w:val="18"/>
                <w:szCs w:val="18"/>
                <w:u w:val="none"/>
                <w:lang w:val="en-US" w:eastAsia="zh-CN" w:bidi="ar"/>
              </w:rPr>
            </w:pPr>
          </w:p>
        </w:tc>
      </w:tr>
      <w:tr w14:paraId="76049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center"/>
          </w:tcPr>
          <w:p w14:paraId="7D487AFA">
            <w:pPr>
              <w:keepNext w:val="0"/>
              <w:keepLines w:val="0"/>
              <w:widowControl/>
              <w:suppressLineNumbers w:val="0"/>
              <w:jc w:val="left"/>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其他国有资本经营预算收入</w:t>
            </w:r>
          </w:p>
        </w:tc>
        <w:tc>
          <w:tcPr>
            <w:tcW w:w="1005" w:type="dxa"/>
            <w:noWrap w:val="0"/>
            <w:vAlign w:val="center"/>
          </w:tcPr>
          <w:p w14:paraId="6643B022">
            <w:pPr>
              <w:jc w:val="center"/>
              <w:rPr>
                <w:rFonts w:hint="eastAsia" w:ascii="Times New Roman" w:hAnsi="Times New Roman" w:eastAsia="宋体" w:cs="宋体"/>
                <w:i w:val="0"/>
                <w:iCs w:val="0"/>
                <w:color w:val="auto"/>
                <w:kern w:val="0"/>
                <w:sz w:val="18"/>
                <w:szCs w:val="18"/>
                <w:u w:val="none"/>
                <w:lang w:val="en-US" w:eastAsia="zh-CN" w:bidi="ar"/>
              </w:rPr>
            </w:pPr>
          </w:p>
        </w:tc>
        <w:tc>
          <w:tcPr>
            <w:tcW w:w="1020" w:type="dxa"/>
            <w:noWrap w:val="0"/>
            <w:vAlign w:val="center"/>
          </w:tcPr>
          <w:p w14:paraId="61CD8AC7">
            <w:pPr>
              <w:jc w:val="center"/>
              <w:rPr>
                <w:rFonts w:hint="eastAsia" w:ascii="Times New Roman" w:hAnsi="Times New Roman" w:eastAsia="宋体" w:cs="宋体"/>
                <w:i w:val="0"/>
                <w:iCs w:val="0"/>
                <w:color w:val="auto"/>
                <w:kern w:val="0"/>
                <w:sz w:val="18"/>
                <w:szCs w:val="18"/>
                <w:u w:val="none"/>
                <w:lang w:val="en-US" w:eastAsia="zh-CN" w:bidi="ar"/>
              </w:rPr>
            </w:pPr>
          </w:p>
        </w:tc>
        <w:tc>
          <w:tcPr>
            <w:tcW w:w="1020" w:type="dxa"/>
            <w:noWrap w:val="0"/>
            <w:vAlign w:val="center"/>
          </w:tcPr>
          <w:p w14:paraId="61FD42E6">
            <w:pPr>
              <w:jc w:val="center"/>
              <w:rPr>
                <w:rFonts w:hint="eastAsia" w:ascii="Times New Roman" w:hAnsi="Times New Roman" w:eastAsia="宋体" w:cs="宋体"/>
                <w:i w:val="0"/>
                <w:iCs w:val="0"/>
                <w:color w:val="auto"/>
                <w:kern w:val="0"/>
                <w:sz w:val="18"/>
                <w:szCs w:val="18"/>
                <w:u w:val="none"/>
                <w:lang w:val="en-US" w:eastAsia="zh-CN" w:bidi="ar"/>
              </w:rPr>
            </w:pPr>
          </w:p>
        </w:tc>
        <w:tc>
          <w:tcPr>
            <w:tcW w:w="3960" w:type="dxa"/>
            <w:noWrap w:val="0"/>
            <w:vAlign w:val="center"/>
          </w:tcPr>
          <w:p w14:paraId="2104549E">
            <w:pPr>
              <w:jc w:val="left"/>
              <w:rPr>
                <w:rFonts w:ascii="Times New Roman" w:hAnsi="Times New Roman"/>
                <w:color w:val="auto"/>
                <w:sz w:val="18"/>
                <w:szCs w:val="18"/>
              </w:rPr>
            </w:pPr>
          </w:p>
        </w:tc>
        <w:tc>
          <w:tcPr>
            <w:tcW w:w="945" w:type="dxa"/>
            <w:noWrap w:val="0"/>
            <w:vAlign w:val="center"/>
          </w:tcPr>
          <w:p w14:paraId="02583404">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noWrap w:val="0"/>
            <w:vAlign w:val="center"/>
          </w:tcPr>
          <w:p w14:paraId="5D45D01C">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noWrap w:val="0"/>
            <w:vAlign w:val="center"/>
          </w:tcPr>
          <w:p w14:paraId="63AAEDB7">
            <w:pPr>
              <w:jc w:val="center"/>
              <w:rPr>
                <w:rFonts w:hint="eastAsia" w:ascii="Times New Roman" w:hAnsi="Times New Roman" w:eastAsia="宋体" w:cs="宋体"/>
                <w:i w:val="0"/>
                <w:iCs w:val="0"/>
                <w:color w:val="auto"/>
                <w:kern w:val="0"/>
                <w:sz w:val="18"/>
                <w:szCs w:val="18"/>
                <w:u w:val="none"/>
                <w:lang w:val="en-US" w:eastAsia="zh-CN" w:bidi="ar"/>
              </w:rPr>
            </w:pPr>
          </w:p>
        </w:tc>
      </w:tr>
      <w:tr w14:paraId="1151C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top"/>
          </w:tcPr>
          <w:p w14:paraId="16B3AD4E">
            <w:pPr>
              <w:keepNext w:val="0"/>
              <w:keepLines w:val="0"/>
              <w:widowControl/>
              <w:suppressLineNumbers w:val="0"/>
              <w:jc w:val="left"/>
              <w:textAlignment w:val="top"/>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二、专项转移支付收入</w:t>
            </w:r>
          </w:p>
        </w:tc>
        <w:tc>
          <w:tcPr>
            <w:tcW w:w="1005" w:type="dxa"/>
            <w:noWrap w:val="0"/>
            <w:vAlign w:val="center"/>
          </w:tcPr>
          <w:p w14:paraId="7BD6A6E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020" w:type="dxa"/>
            <w:noWrap w:val="0"/>
            <w:vAlign w:val="center"/>
          </w:tcPr>
          <w:p w14:paraId="2309F9D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020" w:type="dxa"/>
            <w:noWrap w:val="0"/>
            <w:vAlign w:val="center"/>
          </w:tcPr>
          <w:p w14:paraId="49DBAFF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109.09%</w:t>
            </w:r>
          </w:p>
        </w:tc>
        <w:tc>
          <w:tcPr>
            <w:tcW w:w="3960" w:type="dxa"/>
            <w:noWrap w:val="0"/>
            <w:vAlign w:val="center"/>
          </w:tcPr>
          <w:p w14:paraId="42CAAE40">
            <w:pPr>
              <w:jc w:val="left"/>
              <w:rPr>
                <w:rFonts w:ascii="Times New Roman" w:hAnsi="Times New Roman"/>
                <w:color w:val="auto"/>
                <w:sz w:val="18"/>
                <w:szCs w:val="18"/>
              </w:rPr>
            </w:pPr>
          </w:p>
        </w:tc>
        <w:tc>
          <w:tcPr>
            <w:tcW w:w="945" w:type="dxa"/>
            <w:noWrap w:val="0"/>
            <w:vAlign w:val="center"/>
          </w:tcPr>
          <w:p w14:paraId="611BFFCE">
            <w:pPr>
              <w:jc w:val="center"/>
              <w:rPr>
                <w:rFonts w:hint="eastAsia" w:ascii="Times New Roman" w:hAnsi="Times New Roman" w:eastAsia="宋体" w:cs="宋体"/>
                <w:i w:val="0"/>
                <w:iCs w:val="0"/>
                <w:color w:val="auto"/>
                <w:kern w:val="0"/>
                <w:sz w:val="18"/>
                <w:szCs w:val="18"/>
                <w:u w:val="none"/>
                <w:lang w:val="en-US" w:eastAsia="zh-CN" w:bidi="ar"/>
              </w:rPr>
            </w:pPr>
          </w:p>
        </w:tc>
        <w:tc>
          <w:tcPr>
            <w:tcW w:w="810" w:type="dxa"/>
            <w:noWrap w:val="0"/>
            <w:vAlign w:val="center"/>
          </w:tcPr>
          <w:p w14:paraId="43108B76">
            <w:pPr>
              <w:jc w:val="center"/>
              <w:rPr>
                <w:rFonts w:hint="eastAsia" w:ascii="Times New Roman" w:hAnsi="Times New Roman" w:eastAsia="宋体" w:cs="宋体"/>
                <w:i w:val="0"/>
                <w:iCs w:val="0"/>
                <w:color w:val="auto"/>
                <w:kern w:val="0"/>
                <w:sz w:val="18"/>
                <w:szCs w:val="18"/>
                <w:u w:val="none"/>
                <w:lang w:val="en-US" w:eastAsia="zh-CN" w:bidi="ar"/>
              </w:rPr>
            </w:pPr>
          </w:p>
        </w:tc>
        <w:tc>
          <w:tcPr>
            <w:tcW w:w="1005" w:type="dxa"/>
            <w:noWrap w:val="0"/>
            <w:vAlign w:val="center"/>
          </w:tcPr>
          <w:p w14:paraId="22B5D915">
            <w:pPr>
              <w:jc w:val="center"/>
              <w:rPr>
                <w:rFonts w:hint="eastAsia" w:ascii="Times New Roman" w:hAnsi="Times New Roman" w:eastAsia="宋体" w:cs="宋体"/>
                <w:i w:val="0"/>
                <w:iCs w:val="0"/>
                <w:color w:val="auto"/>
                <w:kern w:val="0"/>
                <w:sz w:val="18"/>
                <w:szCs w:val="18"/>
                <w:u w:val="none"/>
                <w:lang w:val="en-US" w:eastAsia="zh-CN" w:bidi="ar"/>
              </w:rPr>
            </w:pPr>
          </w:p>
        </w:tc>
      </w:tr>
      <w:tr w14:paraId="23B0D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top"/>
          </w:tcPr>
          <w:p w14:paraId="5A9617A1">
            <w:pPr>
              <w:keepNext w:val="0"/>
              <w:keepLines w:val="0"/>
              <w:widowControl/>
              <w:suppressLineNumbers w:val="0"/>
              <w:jc w:val="left"/>
              <w:textAlignment w:val="top"/>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三、上年结余收入</w:t>
            </w:r>
          </w:p>
        </w:tc>
        <w:tc>
          <w:tcPr>
            <w:tcW w:w="1005" w:type="dxa"/>
            <w:noWrap w:val="0"/>
            <w:vAlign w:val="center"/>
          </w:tcPr>
          <w:p w14:paraId="3C98B2B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133</w:t>
            </w:r>
          </w:p>
        </w:tc>
        <w:tc>
          <w:tcPr>
            <w:tcW w:w="1020" w:type="dxa"/>
            <w:noWrap w:val="0"/>
            <w:vAlign w:val="center"/>
          </w:tcPr>
          <w:p w14:paraId="0BCEB76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133</w:t>
            </w:r>
          </w:p>
        </w:tc>
        <w:tc>
          <w:tcPr>
            <w:tcW w:w="1020" w:type="dxa"/>
            <w:noWrap w:val="0"/>
            <w:vAlign w:val="center"/>
          </w:tcPr>
          <w:p w14:paraId="01E4676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c>
          <w:tcPr>
            <w:tcW w:w="3960" w:type="dxa"/>
            <w:noWrap w:val="0"/>
            <w:vAlign w:val="center"/>
          </w:tcPr>
          <w:p w14:paraId="67EE300E">
            <w:pPr>
              <w:keepNext w:val="0"/>
              <w:keepLines w:val="0"/>
              <w:widowControl/>
              <w:suppressLineNumbers w:val="0"/>
              <w:jc w:val="left"/>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二、调出资金</w:t>
            </w:r>
          </w:p>
        </w:tc>
        <w:tc>
          <w:tcPr>
            <w:tcW w:w="945" w:type="dxa"/>
            <w:noWrap w:val="0"/>
            <w:vAlign w:val="center"/>
          </w:tcPr>
          <w:p w14:paraId="72F56D2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2578</w:t>
            </w:r>
          </w:p>
        </w:tc>
        <w:tc>
          <w:tcPr>
            <w:tcW w:w="810" w:type="dxa"/>
            <w:noWrap w:val="0"/>
            <w:vAlign w:val="center"/>
          </w:tcPr>
          <w:p w14:paraId="7F768A8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2578</w:t>
            </w:r>
          </w:p>
        </w:tc>
        <w:tc>
          <w:tcPr>
            <w:tcW w:w="1005" w:type="dxa"/>
            <w:noWrap w:val="0"/>
            <w:vAlign w:val="center"/>
          </w:tcPr>
          <w:p w14:paraId="58B4FD2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493A8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center"/>
          </w:tcPr>
          <w:p w14:paraId="2363E5BF">
            <w:pPr>
              <w:keepNext w:val="0"/>
              <w:keepLines w:val="0"/>
              <w:widowControl/>
              <w:suppressLineNumbers w:val="0"/>
              <w:jc w:val="center"/>
              <w:textAlignment w:val="center"/>
              <w:rPr>
                <w:rFonts w:hint="eastAsia" w:ascii="Times New Roman" w:hAnsi="Times New Roman" w:eastAsia="宋体"/>
                <w:color w:val="auto"/>
                <w:sz w:val="18"/>
                <w:szCs w:val="18"/>
                <w:lang w:eastAsia="zh-CN"/>
              </w:rPr>
            </w:pPr>
            <w:r>
              <w:rPr>
                <w:rFonts w:hint="eastAsia" w:ascii="宋体" w:hAnsi="宋体" w:eastAsia="宋体" w:cs="宋体"/>
                <w:i w:val="0"/>
                <w:iCs w:val="0"/>
                <w:color w:val="000000"/>
                <w:kern w:val="0"/>
                <w:sz w:val="18"/>
                <w:szCs w:val="18"/>
                <w:u w:val="none"/>
                <w:lang w:val="en-US" w:eastAsia="zh-CN" w:bidi="ar"/>
              </w:rPr>
              <w:t>收入合计</w:t>
            </w:r>
          </w:p>
        </w:tc>
        <w:tc>
          <w:tcPr>
            <w:tcW w:w="1005" w:type="dxa"/>
            <w:noWrap w:val="0"/>
            <w:vAlign w:val="center"/>
          </w:tcPr>
          <w:p w14:paraId="5A02D9B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6006</w:t>
            </w:r>
          </w:p>
        </w:tc>
        <w:tc>
          <w:tcPr>
            <w:tcW w:w="1020" w:type="dxa"/>
            <w:noWrap w:val="0"/>
            <w:vAlign w:val="center"/>
          </w:tcPr>
          <w:p w14:paraId="194090B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6007</w:t>
            </w:r>
          </w:p>
        </w:tc>
        <w:tc>
          <w:tcPr>
            <w:tcW w:w="1020" w:type="dxa"/>
            <w:noWrap w:val="0"/>
            <w:vAlign w:val="center"/>
          </w:tcPr>
          <w:p w14:paraId="7FE980C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100.02%</w:t>
            </w:r>
          </w:p>
        </w:tc>
        <w:tc>
          <w:tcPr>
            <w:tcW w:w="3960" w:type="dxa"/>
            <w:noWrap w:val="0"/>
            <w:vAlign w:val="center"/>
          </w:tcPr>
          <w:p w14:paraId="0B049CE1">
            <w:pPr>
              <w:keepNext w:val="0"/>
              <w:keepLines w:val="0"/>
              <w:widowControl/>
              <w:suppressLineNumbers w:val="0"/>
              <w:jc w:val="center"/>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支出合计</w:t>
            </w:r>
          </w:p>
        </w:tc>
        <w:tc>
          <w:tcPr>
            <w:tcW w:w="945" w:type="dxa"/>
            <w:noWrap w:val="0"/>
            <w:vAlign w:val="center"/>
          </w:tcPr>
          <w:p w14:paraId="58651E5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6005</w:t>
            </w:r>
          </w:p>
        </w:tc>
        <w:tc>
          <w:tcPr>
            <w:tcW w:w="810" w:type="dxa"/>
            <w:noWrap w:val="0"/>
            <w:vAlign w:val="center"/>
          </w:tcPr>
          <w:p w14:paraId="28FCD4A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6005</w:t>
            </w:r>
          </w:p>
        </w:tc>
        <w:tc>
          <w:tcPr>
            <w:tcW w:w="1005" w:type="dxa"/>
            <w:noWrap w:val="0"/>
            <w:vAlign w:val="center"/>
          </w:tcPr>
          <w:p w14:paraId="262F98A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r>
      <w:tr w14:paraId="09CDC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8" w:type="dxa"/>
            <w:noWrap w:val="0"/>
            <w:vAlign w:val="center"/>
          </w:tcPr>
          <w:p w14:paraId="26D11D5B">
            <w:pPr>
              <w:jc w:val="center"/>
              <w:rPr>
                <w:rFonts w:ascii="Times New Roman" w:hAnsi="Times New Roman"/>
                <w:color w:val="auto"/>
                <w:sz w:val="18"/>
                <w:szCs w:val="18"/>
              </w:rPr>
            </w:pPr>
          </w:p>
        </w:tc>
        <w:tc>
          <w:tcPr>
            <w:tcW w:w="1005" w:type="dxa"/>
            <w:noWrap w:val="0"/>
            <w:vAlign w:val="center"/>
          </w:tcPr>
          <w:p w14:paraId="025692B7">
            <w:pPr>
              <w:jc w:val="center"/>
              <w:rPr>
                <w:rFonts w:hint="eastAsia" w:ascii="Times New Roman" w:hAnsi="Times New Roman" w:eastAsia="宋体" w:cs="宋体"/>
                <w:i w:val="0"/>
                <w:iCs w:val="0"/>
                <w:color w:val="auto"/>
                <w:kern w:val="0"/>
                <w:sz w:val="18"/>
                <w:szCs w:val="18"/>
                <w:u w:val="none"/>
                <w:lang w:val="en-US" w:eastAsia="zh-CN" w:bidi="ar"/>
              </w:rPr>
            </w:pPr>
          </w:p>
        </w:tc>
        <w:tc>
          <w:tcPr>
            <w:tcW w:w="1020" w:type="dxa"/>
            <w:noWrap w:val="0"/>
            <w:vAlign w:val="center"/>
          </w:tcPr>
          <w:p w14:paraId="3777A213">
            <w:pPr>
              <w:jc w:val="center"/>
              <w:rPr>
                <w:rFonts w:hint="eastAsia" w:ascii="Times New Roman" w:hAnsi="Times New Roman" w:eastAsia="宋体" w:cs="宋体"/>
                <w:i w:val="0"/>
                <w:iCs w:val="0"/>
                <w:color w:val="auto"/>
                <w:kern w:val="0"/>
                <w:sz w:val="18"/>
                <w:szCs w:val="18"/>
                <w:u w:val="none"/>
                <w:lang w:val="en-US" w:eastAsia="zh-CN" w:bidi="ar"/>
              </w:rPr>
            </w:pPr>
          </w:p>
        </w:tc>
        <w:tc>
          <w:tcPr>
            <w:tcW w:w="1020" w:type="dxa"/>
            <w:noWrap w:val="0"/>
            <w:vAlign w:val="center"/>
          </w:tcPr>
          <w:p w14:paraId="5BD46B3D">
            <w:pPr>
              <w:jc w:val="center"/>
              <w:rPr>
                <w:rFonts w:hint="eastAsia" w:ascii="Times New Roman" w:hAnsi="Times New Roman" w:eastAsia="宋体" w:cs="宋体"/>
                <w:i w:val="0"/>
                <w:iCs w:val="0"/>
                <w:color w:val="auto"/>
                <w:kern w:val="0"/>
                <w:sz w:val="18"/>
                <w:szCs w:val="18"/>
                <w:u w:val="none"/>
                <w:lang w:val="en-US" w:eastAsia="zh-CN" w:bidi="ar"/>
              </w:rPr>
            </w:pPr>
          </w:p>
        </w:tc>
        <w:tc>
          <w:tcPr>
            <w:tcW w:w="3960" w:type="dxa"/>
            <w:noWrap w:val="0"/>
            <w:vAlign w:val="center"/>
          </w:tcPr>
          <w:p w14:paraId="61DC0534">
            <w:pPr>
              <w:keepNext w:val="0"/>
              <w:keepLines w:val="0"/>
              <w:widowControl/>
              <w:suppressLineNumbers w:val="0"/>
              <w:jc w:val="center"/>
              <w:textAlignment w:val="center"/>
              <w:rPr>
                <w:rFonts w:ascii="Times New Roman" w:hAnsi="Times New Roman"/>
                <w:color w:val="auto"/>
                <w:sz w:val="18"/>
                <w:szCs w:val="18"/>
              </w:rPr>
            </w:pPr>
            <w:r>
              <w:rPr>
                <w:rFonts w:hint="eastAsia" w:ascii="宋体" w:hAnsi="宋体" w:eastAsia="宋体" w:cs="宋体"/>
                <w:i w:val="0"/>
                <w:iCs w:val="0"/>
                <w:color w:val="000000"/>
                <w:kern w:val="0"/>
                <w:sz w:val="18"/>
                <w:szCs w:val="18"/>
                <w:u w:val="none"/>
                <w:lang w:val="en-US" w:eastAsia="zh-CN" w:bidi="ar"/>
              </w:rPr>
              <w:t>结转下年</w:t>
            </w:r>
          </w:p>
        </w:tc>
        <w:tc>
          <w:tcPr>
            <w:tcW w:w="945" w:type="dxa"/>
            <w:noWrap w:val="0"/>
            <w:vAlign w:val="center"/>
          </w:tcPr>
          <w:p w14:paraId="2AF9C07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10" w:type="dxa"/>
            <w:noWrap w:val="0"/>
            <w:vAlign w:val="center"/>
          </w:tcPr>
          <w:p w14:paraId="29B86BE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005" w:type="dxa"/>
            <w:noWrap w:val="0"/>
            <w:vAlign w:val="center"/>
          </w:tcPr>
          <w:p w14:paraId="4B1A615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200.00%</w:t>
            </w:r>
          </w:p>
        </w:tc>
      </w:tr>
    </w:tbl>
    <w:p w14:paraId="0F3BD9BA">
      <w:pPr>
        <w:rPr>
          <w:rFonts w:hint="eastAsia"/>
          <w:lang w:val="en-US" w:eastAsia="zh-CN"/>
        </w:rPr>
        <w:sectPr>
          <w:pgSz w:w="16838" w:h="11906" w:orient="landscape"/>
          <w:pgMar w:top="1587" w:right="2098" w:bottom="1134" w:left="1984" w:header="851" w:footer="992" w:gutter="0"/>
          <w:pgNumType w:fmt="numberInDash"/>
          <w:cols w:space="425" w:num="1"/>
          <w:docGrid w:type="lines" w:linePitch="312" w:charSpace="0"/>
        </w:sectPr>
      </w:pPr>
    </w:p>
    <w:p w14:paraId="3E9B0B40">
      <w:pPr>
        <w:keepNext w:val="0"/>
        <w:keepLines w:val="0"/>
        <w:pageBreakBefore w:val="0"/>
        <w:widowControl w:val="0"/>
        <w:kinsoku/>
        <w:wordWrap/>
        <w:overflowPunct/>
        <w:topLinePunct w:val="0"/>
        <w:autoSpaceDE/>
        <w:autoSpaceDN/>
        <w:bidi w:val="0"/>
        <w:adjustRightInd/>
        <w:snapToGrid/>
        <w:spacing w:beforeAutospacing="0" w:afterAutospacing="0" w:line="5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3-01</w:t>
      </w:r>
    </w:p>
    <w:p w14:paraId="5BABDEC6">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auto"/>
          <w:w w:val="95"/>
          <w:sz w:val="44"/>
          <w:szCs w:val="44"/>
        </w:rPr>
        <w:t>秭归县202</w:t>
      </w:r>
      <w:r>
        <w:rPr>
          <w:rFonts w:hint="eastAsia" w:ascii="方正小标宋简体" w:hAnsi="方正小标宋简体" w:eastAsia="方正小标宋简体" w:cs="方正小标宋简体"/>
          <w:color w:val="auto"/>
          <w:w w:val="95"/>
          <w:sz w:val="44"/>
          <w:szCs w:val="44"/>
          <w:lang w:val="en-US" w:eastAsia="zh-CN"/>
        </w:rPr>
        <w:t>5</w:t>
      </w:r>
      <w:r>
        <w:rPr>
          <w:rFonts w:hint="eastAsia" w:ascii="方正小标宋简体" w:hAnsi="方正小标宋简体" w:eastAsia="方正小标宋简体" w:cs="方正小标宋简体"/>
          <w:color w:val="auto"/>
          <w:w w:val="95"/>
          <w:sz w:val="44"/>
          <w:szCs w:val="44"/>
        </w:rPr>
        <w:t>年上半年一般公共预算执行情况表</w:t>
      </w:r>
    </w:p>
    <w:p w14:paraId="0FB42A2E">
      <w:pPr>
        <w:jc w:val="right"/>
        <w:rPr>
          <w:rFonts w:hint="eastAsia"/>
          <w:sz w:val="24"/>
          <w:szCs w:val="24"/>
        </w:rPr>
      </w:pPr>
      <w:r>
        <w:rPr>
          <w:rFonts w:hint="eastAsia"/>
        </w:rPr>
        <w:t xml:space="preserve">                                                          </w:t>
      </w:r>
      <w:r>
        <w:rPr>
          <w:rFonts w:hint="eastAsia"/>
          <w:sz w:val="24"/>
          <w:szCs w:val="24"/>
          <w:lang w:val="en-US" w:eastAsia="zh-CN"/>
        </w:rPr>
        <w:t xml:space="preserve"> </w:t>
      </w:r>
      <w:r>
        <w:rPr>
          <w:rFonts w:hint="eastAsia"/>
          <w:sz w:val="24"/>
          <w:szCs w:val="24"/>
        </w:rPr>
        <w:t>单位：万元</w:t>
      </w:r>
    </w:p>
    <w:tbl>
      <w:tblPr>
        <w:tblStyle w:val="8"/>
        <w:tblW w:w="12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4"/>
        <w:gridCol w:w="992"/>
        <w:gridCol w:w="850"/>
        <w:gridCol w:w="1134"/>
        <w:gridCol w:w="2835"/>
        <w:gridCol w:w="993"/>
        <w:gridCol w:w="992"/>
        <w:gridCol w:w="1237"/>
      </w:tblGrid>
      <w:tr w14:paraId="44AB2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486ABE20">
            <w:pPr>
              <w:widowControl/>
              <w:jc w:val="center"/>
              <w:rPr>
                <w:rFonts w:ascii="Times New Roman" w:hAnsi="Times New Roman" w:cs="宋体"/>
                <w:b/>
                <w:bCs/>
                <w:color w:val="auto"/>
                <w:kern w:val="0"/>
                <w:sz w:val="20"/>
                <w:szCs w:val="20"/>
              </w:rPr>
            </w:pPr>
            <w:r>
              <w:rPr>
                <w:rFonts w:hint="eastAsia" w:ascii="Times New Roman" w:hAnsi="Times New Roman" w:cs="宋体"/>
                <w:b/>
                <w:bCs/>
                <w:color w:val="auto"/>
                <w:kern w:val="0"/>
                <w:sz w:val="20"/>
                <w:szCs w:val="20"/>
              </w:rPr>
              <w:t>收入</w:t>
            </w:r>
          </w:p>
        </w:tc>
        <w:tc>
          <w:tcPr>
            <w:tcW w:w="992" w:type="dxa"/>
            <w:noWrap/>
            <w:vAlign w:val="center"/>
          </w:tcPr>
          <w:p w14:paraId="372A7370">
            <w:pPr>
              <w:widowControl/>
              <w:jc w:val="center"/>
              <w:rPr>
                <w:rFonts w:ascii="Times New Roman" w:hAnsi="Times New Roman" w:cs="宋体"/>
                <w:b/>
                <w:bCs/>
                <w:color w:val="auto"/>
                <w:kern w:val="0"/>
                <w:sz w:val="20"/>
                <w:szCs w:val="20"/>
              </w:rPr>
            </w:pPr>
            <w:r>
              <w:rPr>
                <w:rFonts w:hint="eastAsia" w:ascii="Times New Roman" w:hAnsi="Times New Roman" w:cs="宋体"/>
                <w:b/>
                <w:bCs/>
                <w:color w:val="auto"/>
                <w:kern w:val="0"/>
                <w:sz w:val="20"/>
                <w:szCs w:val="20"/>
              </w:rPr>
              <w:t>计划数</w:t>
            </w:r>
          </w:p>
        </w:tc>
        <w:tc>
          <w:tcPr>
            <w:tcW w:w="850" w:type="dxa"/>
            <w:noWrap/>
            <w:vAlign w:val="center"/>
          </w:tcPr>
          <w:p w14:paraId="63B1CF4B">
            <w:pPr>
              <w:widowControl/>
              <w:jc w:val="center"/>
              <w:rPr>
                <w:rFonts w:ascii="Times New Roman" w:hAnsi="Times New Roman" w:cs="宋体"/>
                <w:b/>
                <w:bCs/>
                <w:color w:val="auto"/>
                <w:kern w:val="0"/>
                <w:sz w:val="20"/>
                <w:szCs w:val="20"/>
              </w:rPr>
            </w:pPr>
            <w:r>
              <w:rPr>
                <w:rFonts w:hint="eastAsia" w:ascii="Times New Roman" w:hAnsi="Times New Roman" w:cs="宋体"/>
                <w:b/>
                <w:bCs/>
                <w:color w:val="auto"/>
                <w:kern w:val="0"/>
                <w:sz w:val="20"/>
                <w:szCs w:val="20"/>
                <w:lang w:eastAsia="zh-CN"/>
              </w:rPr>
              <w:t>执行</w:t>
            </w:r>
            <w:r>
              <w:rPr>
                <w:rFonts w:hint="eastAsia" w:ascii="Times New Roman" w:hAnsi="Times New Roman" w:cs="宋体"/>
                <w:b/>
                <w:bCs/>
                <w:color w:val="auto"/>
                <w:kern w:val="0"/>
                <w:sz w:val="20"/>
                <w:szCs w:val="20"/>
              </w:rPr>
              <w:t>数</w:t>
            </w:r>
          </w:p>
        </w:tc>
        <w:tc>
          <w:tcPr>
            <w:tcW w:w="1134" w:type="dxa"/>
            <w:noWrap/>
            <w:vAlign w:val="center"/>
          </w:tcPr>
          <w:p w14:paraId="162DF77E">
            <w:pPr>
              <w:widowControl/>
              <w:jc w:val="center"/>
              <w:rPr>
                <w:rFonts w:ascii="Times New Roman" w:hAnsi="Times New Roman" w:cs="宋体"/>
                <w:b/>
                <w:bCs/>
                <w:color w:val="auto"/>
                <w:kern w:val="0"/>
                <w:sz w:val="20"/>
                <w:szCs w:val="20"/>
              </w:rPr>
            </w:pPr>
            <w:r>
              <w:rPr>
                <w:rFonts w:hint="eastAsia" w:ascii="Times New Roman" w:hAnsi="Times New Roman" w:cs="宋体"/>
                <w:b/>
                <w:bCs/>
                <w:color w:val="auto"/>
                <w:kern w:val="0"/>
                <w:sz w:val="20"/>
                <w:szCs w:val="20"/>
              </w:rPr>
              <w:t>占计划%</w:t>
            </w:r>
          </w:p>
        </w:tc>
        <w:tc>
          <w:tcPr>
            <w:tcW w:w="2835" w:type="dxa"/>
            <w:noWrap/>
            <w:vAlign w:val="center"/>
          </w:tcPr>
          <w:p w14:paraId="0D26EF12">
            <w:pPr>
              <w:widowControl/>
              <w:jc w:val="center"/>
              <w:rPr>
                <w:rFonts w:ascii="Times New Roman" w:hAnsi="Times New Roman" w:cs="宋体"/>
                <w:b/>
                <w:bCs/>
                <w:color w:val="auto"/>
                <w:kern w:val="0"/>
                <w:sz w:val="20"/>
                <w:szCs w:val="20"/>
              </w:rPr>
            </w:pPr>
            <w:r>
              <w:rPr>
                <w:rFonts w:hint="eastAsia" w:ascii="Times New Roman" w:hAnsi="Times New Roman" w:cs="宋体"/>
                <w:b/>
                <w:bCs/>
                <w:color w:val="auto"/>
                <w:kern w:val="0"/>
                <w:sz w:val="20"/>
                <w:szCs w:val="20"/>
              </w:rPr>
              <w:t>支出</w:t>
            </w:r>
          </w:p>
        </w:tc>
        <w:tc>
          <w:tcPr>
            <w:tcW w:w="993" w:type="dxa"/>
            <w:noWrap/>
            <w:vAlign w:val="center"/>
          </w:tcPr>
          <w:p w14:paraId="0EC42C98">
            <w:pPr>
              <w:widowControl/>
              <w:jc w:val="center"/>
              <w:rPr>
                <w:rFonts w:ascii="Times New Roman" w:hAnsi="Times New Roman" w:cs="宋体"/>
                <w:b/>
                <w:bCs/>
                <w:color w:val="auto"/>
                <w:kern w:val="0"/>
                <w:sz w:val="20"/>
                <w:szCs w:val="20"/>
              </w:rPr>
            </w:pPr>
            <w:r>
              <w:rPr>
                <w:rFonts w:hint="eastAsia" w:ascii="Times New Roman" w:hAnsi="Times New Roman" w:cs="宋体"/>
                <w:b/>
                <w:bCs/>
                <w:color w:val="auto"/>
                <w:kern w:val="0"/>
                <w:sz w:val="20"/>
                <w:szCs w:val="20"/>
              </w:rPr>
              <w:t>计划数</w:t>
            </w:r>
          </w:p>
        </w:tc>
        <w:tc>
          <w:tcPr>
            <w:tcW w:w="992" w:type="dxa"/>
            <w:noWrap/>
            <w:vAlign w:val="center"/>
          </w:tcPr>
          <w:p w14:paraId="5F204032">
            <w:pPr>
              <w:widowControl/>
              <w:jc w:val="center"/>
              <w:rPr>
                <w:rFonts w:ascii="Times New Roman" w:hAnsi="Times New Roman" w:cs="宋体"/>
                <w:b/>
                <w:bCs/>
                <w:color w:val="auto"/>
                <w:kern w:val="0"/>
                <w:sz w:val="20"/>
                <w:szCs w:val="20"/>
              </w:rPr>
            </w:pPr>
            <w:r>
              <w:rPr>
                <w:rFonts w:hint="eastAsia" w:ascii="Times New Roman" w:hAnsi="Times New Roman" w:cs="宋体"/>
                <w:b/>
                <w:bCs/>
                <w:color w:val="auto"/>
                <w:kern w:val="0"/>
                <w:sz w:val="20"/>
                <w:szCs w:val="20"/>
              </w:rPr>
              <w:t>执行数</w:t>
            </w:r>
          </w:p>
        </w:tc>
        <w:tc>
          <w:tcPr>
            <w:tcW w:w="1237" w:type="dxa"/>
            <w:noWrap/>
            <w:vAlign w:val="center"/>
          </w:tcPr>
          <w:p w14:paraId="5AE8AF48">
            <w:pPr>
              <w:widowControl/>
              <w:jc w:val="center"/>
              <w:rPr>
                <w:rFonts w:ascii="Times New Roman" w:hAnsi="Times New Roman" w:cs="宋体"/>
                <w:b/>
                <w:bCs/>
                <w:color w:val="auto"/>
                <w:kern w:val="0"/>
                <w:sz w:val="20"/>
                <w:szCs w:val="20"/>
              </w:rPr>
            </w:pPr>
            <w:r>
              <w:rPr>
                <w:rFonts w:hint="eastAsia" w:ascii="Times New Roman" w:hAnsi="Times New Roman" w:cs="宋体"/>
                <w:b/>
                <w:bCs/>
                <w:color w:val="auto"/>
                <w:kern w:val="0"/>
                <w:sz w:val="20"/>
                <w:szCs w:val="20"/>
              </w:rPr>
              <w:t>占计划%</w:t>
            </w:r>
          </w:p>
        </w:tc>
      </w:tr>
      <w:tr w14:paraId="74E68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3254" w:type="dxa"/>
            <w:noWrap/>
            <w:vAlign w:val="center"/>
          </w:tcPr>
          <w:p w14:paraId="2F0A3322">
            <w:pPr>
              <w:keepNext w:val="0"/>
              <w:keepLines w:val="0"/>
              <w:widowControl/>
              <w:suppressLineNumbers w:val="0"/>
              <w:jc w:val="center"/>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合    计</w:t>
            </w:r>
          </w:p>
        </w:tc>
        <w:tc>
          <w:tcPr>
            <w:tcW w:w="992" w:type="dxa"/>
            <w:noWrap/>
            <w:vAlign w:val="center"/>
          </w:tcPr>
          <w:p w14:paraId="47DED21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90000</w:t>
            </w:r>
          </w:p>
        </w:tc>
        <w:tc>
          <w:tcPr>
            <w:tcW w:w="850" w:type="dxa"/>
            <w:noWrap/>
            <w:vAlign w:val="center"/>
          </w:tcPr>
          <w:p w14:paraId="444E0A7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47704</w:t>
            </w:r>
          </w:p>
        </w:tc>
        <w:tc>
          <w:tcPr>
            <w:tcW w:w="1134" w:type="dxa"/>
            <w:noWrap/>
            <w:vAlign w:val="center"/>
          </w:tcPr>
          <w:p w14:paraId="50B3A85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53.00%</w:t>
            </w:r>
          </w:p>
        </w:tc>
        <w:tc>
          <w:tcPr>
            <w:tcW w:w="2835" w:type="dxa"/>
            <w:noWrap/>
            <w:vAlign w:val="center"/>
          </w:tcPr>
          <w:p w14:paraId="2AA855B3">
            <w:pPr>
              <w:keepNext w:val="0"/>
              <w:keepLines w:val="0"/>
              <w:widowControl/>
              <w:suppressLineNumbers w:val="0"/>
              <w:jc w:val="center"/>
              <w:textAlignment w:val="center"/>
              <w:rPr>
                <w:rFonts w:ascii="Times New Roman" w:hAnsi="Times New Roman"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合</w:t>
            </w:r>
            <w:r>
              <w:rPr>
                <w:rStyle w:val="16"/>
                <w:rFonts w:eastAsia="宋体"/>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计</w:t>
            </w:r>
          </w:p>
        </w:tc>
        <w:tc>
          <w:tcPr>
            <w:tcW w:w="993" w:type="dxa"/>
            <w:noWrap/>
            <w:vAlign w:val="center"/>
          </w:tcPr>
          <w:p w14:paraId="66690D6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354988</w:t>
            </w:r>
          </w:p>
        </w:tc>
        <w:tc>
          <w:tcPr>
            <w:tcW w:w="992" w:type="dxa"/>
            <w:noWrap/>
            <w:vAlign w:val="center"/>
          </w:tcPr>
          <w:p w14:paraId="514C628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190051</w:t>
            </w:r>
          </w:p>
        </w:tc>
        <w:tc>
          <w:tcPr>
            <w:tcW w:w="1237" w:type="dxa"/>
            <w:noWrap/>
            <w:vAlign w:val="center"/>
          </w:tcPr>
          <w:p w14:paraId="288152F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53.54%</w:t>
            </w:r>
          </w:p>
        </w:tc>
      </w:tr>
      <w:tr w14:paraId="5542A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3254" w:type="dxa"/>
            <w:noWrap/>
            <w:vAlign w:val="center"/>
          </w:tcPr>
          <w:p w14:paraId="6EA15B25">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一、税收收入</w:t>
            </w:r>
          </w:p>
        </w:tc>
        <w:tc>
          <w:tcPr>
            <w:tcW w:w="992" w:type="dxa"/>
            <w:noWrap/>
            <w:vAlign w:val="center"/>
          </w:tcPr>
          <w:p w14:paraId="55EF8AD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57000</w:t>
            </w:r>
          </w:p>
        </w:tc>
        <w:tc>
          <w:tcPr>
            <w:tcW w:w="850" w:type="dxa"/>
            <w:noWrap/>
            <w:vAlign w:val="center"/>
          </w:tcPr>
          <w:p w14:paraId="6A833BD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29232</w:t>
            </w:r>
          </w:p>
        </w:tc>
        <w:tc>
          <w:tcPr>
            <w:tcW w:w="1134" w:type="dxa"/>
            <w:noWrap/>
            <w:vAlign w:val="center"/>
          </w:tcPr>
          <w:p w14:paraId="797F3DA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51.28%</w:t>
            </w:r>
          </w:p>
        </w:tc>
        <w:tc>
          <w:tcPr>
            <w:tcW w:w="2835" w:type="dxa"/>
            <w:noWrap/>
            <w:vAlign w:val="center"/>
          </w:tcPr>
          <w:p w14:paraId="47C17309">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201.一般公共服务支出</w:t>
            </w:r>
          </w:p>
        </w:tc>
        <w:tc>
          <w:tcPr>
            <w:tcW w:w="993" w:type="dxa"/>
            <w:noWrap/>
            <w:vAlign w:val="center"/>
          </w:tcPr>
          <w:p w14:paraId="21E1004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56154</w:t>
            </w:r>
          </w:p>
        </w:tc>
        <w:tc>
          <w:tcPr>
            <w:tcW w:w="992" w:type="dxa"/>
            <w:noWrap/>
            <w:vAlign w:val="center"/>
          </w:tcPr>
          <w:p w14:paraId="58C0866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25163</w:t>
            </w:r>
          </w:p>
        </w:tc>
        <w:tc>
          <w:tcPr>
            <w:tcW w:w="1237" w:type="dxa"/>
            <w:noWrap/>
            <w:vAlign w:val="center"/>
          </w:tcPr>
          <w:p w14:paraId="7211BD0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44.81%</w:t>
            </w:r>
          </w:p>
        </w:tc>
      </w:tr>
      <w:tr w14:paraId="563C2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03E567CF">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增值税</w:t>
            </w:r>
          </w:p>
        </w:tc>
        <w:tc>
          <w:tcPr>
            <w:tcW w:w="992" w:type="dxa"/>
            <w:noWrap/>
            <w:vAlign w:val="center"/>
          </w:tcPr>
          <w:p w14:paraId="567EB1C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25580</w:t>
            </w:r>
          </w:p>
        </w:tc>
        <w:tc>
          <w:tcPr>
            <w:tcW w:w="850" w:type="dxa"/>
            <w:noWrap/>
            <w:vAlign w:val="center"/>
          </w:tcPr>
          <w:p w14:paraId="40202BE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11190</w:t>
            </w:r>
          </w:p>
        </w:tc>
        <w:tc>
          <w:tcPr>
            <w:tcW w:w="1134" w:type="dxa"/>
            <w:noWrap/>
            <w:vAlign w:val="center"/>
          </w:tcPr>
          <w:p w14:paraId="2998C1F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43.75%</w:t>
            </w:r>
          </w:p>
        </w:tc>
        <w:tc>
          <w:tcPr>
            <w:tcW w:w="2835" w:type="dxa"/>
            <w:noWrap/>
            <w:vAlign w:val="center"/>
          </w:tcPr>
          <w:p w14:paraId="1E046E3C">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203.国防支出</w:t>
            </w:r>
          </w:p>
        </w:tc>
        <w:tc>
          <w:tcPr>
            <w:tcW w:w="993" w:type="dxa"/>
            <w:noWrap/>
            <w:vAlign w:val="center"/>
          </w:tcPr>
          <w:p w14:paraId="372E043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992" w:type="dxa"/>
            <w:noWrap/>
            <w:vAlign w:val="center"/>
          </w:tcPr>
          <w:p w14:paraId="7911958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237" w:type="dxa"/>
            <w:noWrap/>
            <w:vAlign w:val="center"/>
          </w:tcPr>
          <w:p w14:paraId="5B8586E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489F5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2184B4AF">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企业所得税</w:t>
            </w:r>
          </w:p>
        </w:tc>
        <w:tc>
          <w:tcPr>
            <w:tcW w:w="992" w:type="dxa"/>
            <w:noWrap/>
            <w:vAlign w:val="center"/>
          </w:tcPr>
          <w:p w14:paraId="0A99EE6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5600</w:t>
            </w:r>
          </w:p>
        </w:tc>
        <w:tc>
          <w:tcPr>
            <w:tcW w:w="850" w:type="dxa"/>
            <w:noWrap/>
            <w:vAlign w:val="center"/>
          </w:tcPr>
          <w:p w14:paraId="2A4FBBF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3605</w:t>
            </w:r>
          </w:p>
        </w:tc>
        <w:tc>
          <w:tcPr>
            <w:tcW w:w="1134" w:type="dxa"/>
            <w:noWrap/>
            <w:vAlign w:val="center"/>
          </w:tcPr>
          <w:p w14:paraId="4D0EDF1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64.38%</w:t>
            </w:r>
          </w:p>
        </w:tc>
        <w:tc>
          <w:tcPr>
            <w:tcW w:w="2835" w:type="dxa"/>
            <w:noWrap/>
            <w:vAlign w:val="center"/>
          </w:tcPr>
          <w:p w14:paraId="388ACBC2">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204.公共安全支出</w:t>
            </w:r>
          </w:p>
        </w:tc>
        <w:tc>
          <w:tcPr>
            <w:tcW w:w="993" w:type="dxa"/>
            <w:noWrap/>
            <w:vAlign w:val="center"/>
          </w:tcPr>
          <w:p w14:paraId="54E7C3E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12663</w:t>
            </w:r>
          </w:p>
        </w:tc>
        <w:tc>
          <w:tcPr>
            <w:tcW w:w="992" w:type="dxa"/>
            <w:noWrap/>
            <w:vAlign w:val="center"/>
          </w:tcPr>
          <w:p w14:paraId="7920D6C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5888</w:t>
            </w:r>
          </w:p>
        </w:tc>
        <w:tc>
          <w:tcPr>
            <w:tcW w:w="1237" w:type="dxa"/>
            <w:noWrap/>
            <w:vAlign w:val="center"/>
          </w:tcPr>
          <w:p w14:paraId="20CC4ED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46.50%</w:t>
            </w:r>
          </w:p>
        </w:tc>
      </w:tr>
      <w:tr w14:paraId="0F097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02274167">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个人所得税</w:t>
            </w:r>
          </w:p>
        </w:tc>
        <w:tc>
          <w:tcPr>
            <w:tcW w:w="992" w:type="dxa"/>
            <w:noWrap/>
            <w:vAlign w:val="center"/>
          </w:tcPr>
          <w:p w14:paraId="52A2F84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850" w:type="dxa"/>
            <w:noWrap/>
            <w:vAlign w:val="center"/>
          </w:tcPr>
          <w:p w14:paraId="613EFC0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880</w:t>
            </w:r>
          </w:p>
        </w:tc>
        <w:tc>
          <w:tcPr>
            <w:tcW w:w="1134" w:type="dxa"/>
            <w:noWrap/>
            <w:vAlign w:val="center"/>
          </w:tcPr>
          <w:p w14:paraId="0A1025A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58.67%</w:t>
            </w:r>
          </w:p>
        </w:tc>
        <w:tc>
          <w:tcPr>
            <w:tcW w:w="2835" w:type="dxa"/>
            <w:noWrap/>
            <w:vAlign w:val="center"/>
          </w:tcPr>
          <w:p w14:paraId="3D76727E">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205.教育支出</w:t>
            </w:r>
          </w:p>
        </w:tc>
        <w:tc>
          <w:tcPr>
            <w:tcW w:w="993" w:type="dxa"/>
            <w:noWrap/>
            <w:vAlign w:val="center"/>
          </w:tcPr>
          <w:p w14:paraId="33A66E9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68882</w:t>
            </w:r>
          </w:p>
        </w:tc>
        <w:tc>
          <w:tcPr>
            <w:tcW w:w="992" w:type="dxa"/>
            <w:noWrap/>
            <w:vAlign w:val="center"/>
          </w:tcPr>
          <w:p w14:paraId="11621E5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35702</w:t>
            </w:r>
          </w:p>
        </w:tc>
        <w:tc>
          <w:tcPr>
            <w:tcW w:w="1237" w:type="dxa"/>
            <w:noWrap/>
            <w:vAlign w:val="center"/>
          </w:tcPr>
          <w:p w14:paraId="367C6AC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51.83%</w:t>
            </w:r>
          </w:p>
        </w:tc>
      </w:tr>
      <w:tr w14:paraId="27F7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646201AD">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资源税</w:t>
            </w:r>
          </w:p>
        </w:tc>
        <w:tc>
          <w:tcPr>
            <w:tcW w:w="992" w:type="dxa"/>
            <w:noWrap/>
            <w:vAlign w:val="center"/>
          </w:tcPr>
          <w:p w14:paraId="776C8B4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5100</w:t>
            </w:r>
          </w:p>
        </w:tc>
        <w:tc>
          <w:tcPr>
            <w:tcW w:w="850" w:type="dxa"/>
            <w:noWrap/>
            <w:vAlign w:val="center"/>
          </w:tcPr>
          <w:p w14:paraId="7287589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1465</w:t>
            </w:r>
          </w:p>
        </w:tc>
        <w:tc>
          <w:tcPr>
            <w:tcW w:w="1134" w:type="dxa"/>
            <w:noWrap/>
            <w:vAlign w:val="center"/>
          </w:tcPr>
          <w:p w14:paraId="43FC50B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28.73%</w:t>
            </w:r>
          </w:p>
        </w:tc>
        <w:tc>
          <w:tcPr>
            <w:tcW w:w="2835" w:type="dxa"/>
            <w:noWrap/>
            <w:vAlign w:val="center"/>
          </w:tcPr>
          <w:p w14:paraId="5A71EFA0">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206.科学技术支出</w:t>
            </w:r>
          </w:p>
        </w:tc>
        <w:tc>
          <w:tcPr>
            <w:tcW w:w="993" w:type="dxa"/>
            <w:noWrap/>
            <w:vAlign w:val="center"/>
          </w:tcPr>
          <w:p w14:paraId="601C3E0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8785</w:t>
            </w:r>
          </w:p>
        </w:tc>
        <w:tc>
          <w:tcPr>
            <w:tcW w:w="992" w:type="dxa"/>
            <w:noWrap/>
            <w:vAlign w:val="center"/>
          </w:tcPr>
          <w:p w14:paraId="2BBB328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1954</w:t>
            </w:r>
          </w:p>
        </w:tc>
        <w:tc>
          <w:tcPr>
            <w:tcW w:w="1237" w:type="dxa"/>
            <w:noWrap/>
            <w:vAlign w:val="center"/>
          </w:tcPr>
          <w:p w14:paraId="588F7BB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22.24%</w:t>
            </w:r>
          </w:p>
        </w:tc>
      </w:tr>
      <w:tr w14:paraId="670F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79201561">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城市维护建设税</w:t>
            </w:r>
          </w:p>
        </w:tc>
        <w:tc>
          <w:tcPr>
            <w:tcW w:w="992" w:type="dxa"/>
            <w:noWrap/>
            <w:vAlign w:val="center"/>
          </w:tcPr>
          <w:p w14:paraId="103E174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2200</w:t>
            </w:r>
          </w:p>
        </w:tc>
        <w:tc>
          <w:tcPr>
            <w:tcW w:w="850" w:type="dxa"/>
            <w:noWrap/>
            <w:vAlign w:val="center"/>
          </w:tcPr>
          <w:p w14:paraId="00A4A71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911</w:t>
            </w:r>
          </w:p>
        </w:tc>
        <w:tc>
          <w:tcPr>
            <w:tcW w:w="1134" w:type="dxa"/>
            <w:noWrap/>
            <w:vAlign w:val="center"/>
          </w:tcPr>
          <w:p w14:paraId="6D9A8E0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41.41%</w:t>
            </w:r>
          </w:p>
        </w:tc>
        <w:tc>
          <w:tcPr>
            <w:tcW w:w="2835" w:type="dxa"/>
            <w:noWrap/>
            <w:vAlign w:val="center"/>
          </w:tcPr>
          <w:p w14:paraId="71AD9231">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207.文化旅游体育与传媒支出</w:t>
            </w:r>
          </w:p>
        </w:tc>
        <w:tc>
          <w:tcPr>
            <w:tcW w:w="993" w:type="dxa"/>
            <w:noWrap/>
            <w:vAlign w:val="center"/>
          </w:tcPr>
          <w:p w14:paraId="0A362EB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5778</w:t>
            </w:r>
          </w:p>
        </w:tc>
        <w:tc>
          <w:tcPr>
            <w:tcW w:w="992" w:type="dxa"/>
            <w:noWrap/>
            <w:vAlign w:val="center"/>
          </w:tcPr>
          <w:p w14:paraId="1F2EBF8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3165</w:t>
            </w:r>
          </w:p>
        </w:tc>
        <w:tc>
          <w:tcPr>
            <w:tcW w:w="1237" w:type="dxa"/>
            <w:noWrap/>
            <w:vAlign w:val="center"/>
          </w:tcPr>
          <w:p w14:paraId="48D4671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54.78%</w:t>
            </w:r>
          </w:p>
        </w:tc>
      </w:tr>
      <w:tr w14:paraId="0FAA7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31FA1445">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房产税</w:t>
            </w:r>
          </w:p>
        </w:tc>
        <w:tc>
          <w:tcPr>
            <w:tcW w:w="992" w:type="dxa"/>
            <w:noWrap/>
            <w:vAlign w:val="center"/>
          </w:tcPr>
          <w:p w14:paraId="2916B43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2800</w:t>
            </w:r>
          </w:p>
        </w:tc>
        <w:tc>
          <w:tcPr>
            <w:tcW w:w="850" w:type="dxa"/>
            <w:noWrap/>
            <w:vAlign w:val="center"/>
          </w:tcPr>
          <w:p w14:paraId="14757B1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1493</w:t>
            </w:r>
          </w:p>
        </w:tc>
        <w:tc>
          <w:tcPr>
            <w:tcW w:w="1134" w:type="dxa"/>
            <w:noWrap/>
            <w:vAlign w:val="center"/>
          </w:tcPr>
          <w:p w14:paraId="759BA49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53.32%</w:t>
            </w:r>
          </w:p>
        </w:tc>
        <w:tc>
          <w:tcPr>
            <w:tcW w:w="2835" w:type="dxa"/>
            <w:noWrap/>
            <w:vAlign w:val="center"/>
          </w:tcPr>
          <w:p w14:paraId="1B1D9BBC">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208.社会保障和就业支出</w:t>
            </w:r>
          </w:p>
        </w:tc>
        <w:tc>
          <w:tcPr>
            <w:tcW w:w="993" w:type="dxa"/>
            <w:noWrap/>
            <w:vAlign w:val="center"/>
          </w:tcPr>
          <w:p w14:paraId="36E9465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46518</w:t>
            </w:r>
          </w:p>
        </w:tc>
        <w:tc>
          <w:tcPr>
            <w:tcW w:w="992" w:type="dxa"/>
            <w:noWrap/>
            <w:vAlign w:val="center"/>
          </w:tcPr>
          <w:p w14:paraId="53F8576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19089</w:t>
            </w:r>
          </w:p>
        </w:tc>
        <w:tc>
          <w:tcPr>
            <w:tcW w:w="1237" w:type="dxa"/>
            <w:noWrap/>
            <w:vAlign w:val="center"/>
          </w:tcPr>
          <w:p w14:paraId="149F7FE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41.04%</w:t>
            </w:r>
          </w:p>
        </w:tc>
      </w:tr>
      <w:tr w14:paraId="3CA16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06A66F32">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印花税</w:t>
            </w:r>
          </w:p>
        </w:tc>
        <w:tc>
          <w:tcPr>
            <w:tcW w:w="992" w:type="dxa"/>
            <w:noWrap/>
            <w:vAlign w:val="center"/>
          </w:tcPr>
          <w:p w14:paraId="53C44DC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800</w:t>
            </w:r>
          </w:p>
        </w:tc>
        <w:tc>
          <w:tcPr>
            <w:tcW w:w="850" w:type="dxa"/>
            <w:noWrap/>
            <w:vAlign w:val="center"/>
          </w:tcPr>
          <w:p w14:paraId="1036671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481</w:t>
            </w:r>
          </w:p>
        </w:tc>
        <w:tc>
          <w:tcPr>
            <w:tcW w:w="1134" w:type="dxa"/>
            <w:noWrap/>
            <w:vAlign w:val="center"/>
          </w:tcPr>
          <w:p w14:paraId="3EA73B0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60.13%</w:t>
            </w:r>
          </w:p>
        </w:tc>
        <w:tc>
          <w:tcPr>
            <w:tcW w:w="2835" w:type="dxa"/>
            <w:noWrap/>
            <w:vAlign w:val="center"/>
          </w:tcPr>
          <w:p w14:paraId="184FD7E0">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210.卫生健康支出</w:t>
            </w:r>
          </w:p>
        </w:tc>
        <w:tc>
          <w:tcPr>
            <w:tcW w:w="993" w:type="dxa"/>
            <w:noWrap/>
            <w:vAlign w:val="center"/>
          </w:tcPr>
          <w:p w14:paraId="534DA88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20849</w:t>
            </w:r>
          </w:p>
        </w:tc>
        <w:tc>
          <w:tcPr>
            <w:tcW w:w="992" w:type="dxa"/>
            <w:noWrap/>
            <w:vAlign w:val="center"/>
          </w:tcPr>
          <w:p w14:paraId="7486EEE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10470</w:t>
            </w:r>
          </w:p>
        </w:tc>
        <w:tc>
          <w:tcPr>
            <w:tcW w:w="1237" w:type="dxa"/>
            <w:noWrap/>
            <w:vAlign w:val="center"/>
          </w:tcPr>
          <w:p w14:paraId="2C070D3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50.22%</w:t>
            </w:r>
          </w:p>
        </w:tc>
      </w:tr>
      <w:tr w14:paraId="017D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1B0A4F2A">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城镇土地使用税</w:t>
            </w:r>
          </w:p>
        </w:tc>
        <w:tc>
          <w:tcPr>
            <w:tcW w:w="992" w:type="dxa"/>
            <w:noWrap/>
            <w:vAlign w:val="center"/>
          </w:tcPr>
          <w:p w14:paraId="2328185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2250</w:t>
            </w:r>
          </w:p>
        </w:tc>
        <w:tc>
          <w:tcPr>
            <w:tcW w:w="850" w:type="dxa"/>
            <w:noWrap/>
            <w:vAlign w:val="center"/>
          </w:tcPr>
          <w:p w14:paraId="4F5CF0D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1256</w:t>
            </w:r>
          </w:p>
        </w:tc>
        <w:tc>
          <w:tcPr>
            <w:tcW w:w="1134" w:type="dxa"/>
            <w:noWrap/>
            <w:vAlign w:val="center"/>
          </w:tcPr>
          <w:p w14:paraId="38E3F0E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55.82%</w:t>
            </w:r>
          </w:p>
        </w:tc>
        <w:tc>
          <w:tcPr>
            <w:tcW w:w="2835" w:type="dxa"/>
            <w:noWrap/>
            <w:vAlign w:val="center"/>
          </w:tcPr>
          <w:p w14:paraId="465BBC3E">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211.节能环保支出</w:t>
            </w:r>
          </w:p>
        </w:tc>
        <w:tc>
          <w:tcPr>
            <w:tcW w:w="993" w:type="dxa"/>
            <w:noWrap/>
            <w:vAlign w:val="center"/>
          </w:tcPr>
          <w:p w14:paraId="0411FDF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6277</w:t>
            </w:r>
          </w:p>
        </w:tc>
        <w:tc>
          <w:tcPr>
            <w:tcW w:w="992" w:type="dxa"/>
            <w:noWrap/>
            <w:vAlign w:val="center"/>
          </w:tcPr>
          <w:p w14:paraId="3733978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7991</w:t>
            </w:r>
          </w:p>
        </w:tc>
        <w:tc>
          <w:tcPr>
            <w:tcW w:w="1237" w:type="dxa"/>
            <w:noWrap/>
            <w:vAlign w:val="center"/>
          </w:tcPr>
          <w:p w14:paraId="70CD571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127.31%</w:t>
            </w:r>
          </w:p>
        </w:tc>
      </w:tr>
      <w:tr w14:paraId="1B804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553D9356">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土地增值税</w:t>
            </w:r>
          </w:p>
        </w:tc>
        <w:tc>
          <w:tcPr>
            <w:tcW w:w="992" w:type="dxa"/>
            <w:noWrap/>
            <w:vAlign w:val="center"/>
          </w:tcPr>
          <w:p w14:paraId="645F5B2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1500</w:t>
            </w:r>
          </w:p>
        </w:tc>
        <w:tc>
          <w:tcPr>
            <w:tcW w:w="850" w:type="dxa"/>
            <w:noWrap/>
            <w:vAlign w:val="center"/>
          </w:tcPr>
          <w:p w14:paraId="0A46EEF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790</w:t>
            </w:r>
          </w:p>
        </w:tc>
        <w:tc>
          <w:tcPr>
            <w:tcW w:w="1134" w:type="dxa"/>
            <w:noWrap/>
            <w:vAlign w:val="center"/>
          </w:tcPr>
          <w:p w14:paraId="3DB793B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52.67%</w:t>
            </w:r>
          </w:p>
        </w:tc>
        <w:tc>
          <w:tcPr>
            <w:tcW w:w="2835" w:type="dxa"/>
            <w:noWrap/>
            <w:vAlign w:val="center"/>
          </w:tcPr>
          <w:p w14:paraId="300D8C86">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212.城乡社区支出</w:t>
            </w:r>
          </w:p>
        </w:tc>
        <w:tc>
          <w:tcPr>
            <w:tcW w:w="993" w:type="dxa"/>
            <w:noWrap/>
            <w:vAlign w:val="center"/>
          </w:tcPr>
          <w:p w14:paraId="3EC7A8D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13534</w:t>
            </w:r>
          </w:p>
        </w:tc>
        <w:tc>
          <w:tcPr>
            <w:tcW w:w="992" w:type="dxa"/>
            <w:noWrap/>
            <w:vAlign w:val="center"/>
          </w:tcPr>
          <w:p w14:paraId="03A55EA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24875</w:t>
            </w:r>
          </w:p>
        </w:tc>
        <w:tc>
          <w:tcPr>
            <w:tcW w:w="1237" w:type="dxa"/>
            <w:noWrap/>
            <w:vAlign w:val="center"/>
          </w:tcPr>
          <w:p w14:paraId="56CE9F8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183.80%</w:t>
            </w:r>
          </w:p>
        </w:tc>
      </w:tr>
      <w:tr w14:paraId="1057A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3254" w:type="dxa"/>
            <w:noWrap/>
            <w:vAlign w:val="center"/>
          </w:tcPr>
          <w:p w14:paraId="3407A862">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车船税</w:t>
            </w:r>
          </w:p>
        </w:tc>
        <w:tc>
          <w:tcPr>
            <w:tcW w:w="992" w:type="dxa"/>
            <w:noWrap/>
            <w:vAlign w:val="center"/>
          </w:tcPr>
          <w:p w14:paraId="770FF12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1400</w:t>
            </w:r>
          </w:p>
        </w:tc>
        <w:tc>
          <w:tcPr>
            <w:tcW w:w="850" w:type="dxa"/>
            <w:noWrap/>
            <w:vAlign w:val="center"/>
          </w:tcPr>
          <w:p w14:paraId="55B25BA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769</w:t>
            </w:r>
          </w:p>
        </w:tc>
        <w:tc>
          <w:tcPr>
            <w:tcW w:w="1134" w:type="dxa"/>
            <w:noWrap/>
            <w:vAlign w:val="center"/>
          </w:tcPr>
          <w:p w14:paraId="15ABFC1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54.93%</w:t>
            </w:r>
          </w:p>
        </w:tc>
        <w:tc>
          <w:tcPr>
            <w:tcW w:w="2835" w:type="dxa"/>
            <w:noWrap/>
            <w:vAlign w:val="center"/>
          </w:tcPr>
          <w:p w14:paraId="6B42EB29">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213.农林水支出</w:t>
            </w:r>
          </w:p>
        </w:tc>
        <w:tc>
          <w:tcPr>
            <w:tcW w:w="993" w:type="dxa"/>
            <w:noWrap/>
            <w:vAlign w:val="center"/>
          </w:tcPr>
          <w:p w14:paraId="089929F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62953</w:t>
            </w:r>
          </w:p>
        </w:tc>
        <w:tc>
          <w:tcPr>
            <w:tcW w:w="992" w:type="dxa"/>
            <w:noWrap/>
            <w:vAlign w:val="center"/>
          </w:tcPr>
          <w:p w14:paraId="5B67393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31515</w:t>
            </w:r>
          </w:p>
        </w:tc>
        <w:tc>
          <w:tcPr>
            <w:tcW w:w="1237" w:type="dxa"/>
            <w:noWrap/>
            <w:vAlign w:val="center"/>
          </w:tcPr>
          <w:p w14:paraId="446B3FB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50.06%</w:t>
            </w:r>
          </w:p>
        </w:tc>
      </w:tr>
      <w:tr w14:paraId="102D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38721E1D">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耕地占用税</w:t>
            </w:r>
          </w:p>
        </w:tc>
        <w:tc>
          <w:tcPr>
            <w:tcW w:w="992" w:type="dxa"/>
            <w:noWrap/>
            <w:vAlign w:val="center"/>
          </w:tcPr>
          <w:p w14:paraId="1B3555B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3000</w:t>
            </w:r>
          </w:p>
        </w:tc>
        <w:tc>
          <w:tcPr>
            <w:tcW w:w="850" w:type="dxa"/>
            <w:noWrap/>
            <w:vAlign w:val="center"/>
          </w:tcPr>
          <w:p w14:paraId="629472C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5326</w:t>
            </w:r>
          </w:p>
        </w:tc>
        <w:tc>
          <w:tcPr>
            <w:tcW w:w="1134" w:type="dxa"/>
            <w:noWrap/>
            <w:vAlign w:val="center"/>
          </w:tcPr>
          <w:p w14:paraId="1DE00B5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177.53%</w:t>
            </w:r>
          </w:p>
        </w:tc>
        <w:tc>
          <w:tcPr>
            <w:tcW w:w="2835" w:type="dxa"/>
            <w:noWrap/>
            <w:vAlign w:val="center"/>
          </w:tcPr>
          <w:p w14:paraId="62F398E2">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214.交通运输支出</w:t>
            </w:r>
          </w:p>
        </w:tc>
        <w:tc>
          <w:tcPr>
            <w:tcW w:w="993" w:type="dxa"/>
            <w:noWrap/>
            <w:vAlign w:val="center"/>
          </w:tcPr>
          <w:p w14:paraId="7220D08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20563</w:t>
            </w:r>
          </w:p>
        </w:tc>
        <w:tc>
          <w:tcPr>
            <w:tcW w:w="992" w:type="dxa"/>
            <w:noWrap/>
            <w:vAlign w:val="center"/>
          </w:tcPr>
          <w:p w14:paraId="112FAFA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9572</w:t>
            </w:r>
          </w:p>
        </w:tc>
        <w:tc>
          <w:tcPr>
            <w:tcW w:w="1237" w:type="dxa"/>
            <w:noWrap/>
            <w:vAlign w:val="center"/>
          </w:tcPr>
          <w:p w14:paraId="7991B47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46.55%</w:t>
            </w:r>
          </w:p>
        </w:tc>
      </w:tr>
      <w:tr w14:paraId="0A135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6302C48E">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契税</w:t>
            </w:r>
          </w:p>
        </w:tc>
        <w:tc>
          <w:tcPr>
            <w:tcW w:w="992" w:type="dxa"/>
            <w:noWrap/>
            <w:vAlign w:val="center"/>
          </w:tcPr>
          <w:p w14:paraId="097D17A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2400</w:t>
            </w:r>
          </w:p>
        </w:tc>
        <w:tc>
          <w:tcPr>
            <w:tcW w:w="850" w:type="dxa"/>
            <w:noWrap/>
            <w:vAlign w:val="center"/>
          </w:tcPr>
          <w:p w14:paraId="117D66B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w:t>
            </w:r>
          </w:p>
        </w:tc>
        <w:tc>
          <w:tcPr>
            <w:tcW w:w="1134" w:type="dxa"/>
            <w:noWrap/>
            <w:vAlign w:val="center"/>
          </w:tcPr>
          <w:p w14:paraId="7783BE3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41.67%</w:t>
            </w:r>
          </w:p>
        </w:tc>
        <w:tc>
          <w:tcPr>
            <w:tcW w:w="2835" w:type="dxa"/>
            <w:noWrap/>
            <w:vAlign w:val="center"/>
          </w:tcPr>
          <w:p w14:paraId="5F715420">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215.资源勘探工业信息等支出</w:t>
            </w:r>
          </w:p>
        </w:tc>
        <w:tc>
          <w:tcPr>
            <w:tcW w:w="993" w:type="dxa"/>
            <w:noWrap/>
            <w:vAlign w:val="center"/>
          </w:tcPr>
          <w:p w14:paraId="57C1807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510</w:t>
            </w:r>
          </w:p>
        </w:tc>
        <w:tc>
          <w:tcPr>
            <w:tcW w:w="992" w:type="dxa"/>
            <w:noWrap/>
            <w:vAlign w:val="center"/>
          </w:tcPr>
          <w:p w14:paraId="25F99D2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288</w:t>
            </w:r>
          </w:p>
        </w:tc>
        <w:tc>
          <w:tcPr>
            <w:tcW w:w="1237" w:type="dxa"/>
            <w:noWrap/>
            <w:vAlign w:val="center"/>
          </w:tcPr>
          <w:p w14:paraId="26B0099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56.47%</w:t>
            </w:r>
          </w:p>
        </w:tc>
      </w:tr>
      <w:tr w14:paraId="06C7A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25F53A8D">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烟叶税</w:t>
            </w:r>
          </w:p>
        </w:tc>
        <w:tc>
          <w:tcPr>
            <w:tcW w:w="992" w:type="dxa"/>
            <w:noWrap/>
            <w:vAlign w:val="center"/>
          </w:tcPr>
          <w:p w14:paraId="54901BE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2800</w:t>
            </w:r>
          </w:p>
        </w:tc>
        <w:tc>
          <w:tcPr>
            <w:tcW w:w="850" w:type="dxa"/>
            <w:noWrap/>
            <w:vAlign w:val="center"/>
          </w:tcPr>
          <w:p w14:paraId="364DD65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134" w:type="dxa"/>
            <w:noWrap/>
            <w:vAlign w:val="center"/>
          </w:tcPr>
          <w:p w14:paraId="60ACE19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0.32%</w:t>
            </w:r>
          </w:p>
        </w:tc>
        <w:tc>
          <w:tcPr>
            <w:tcW w:w="2835" w:type="dxa"/>
            <w:noWrap/>
            <w:vAlign w:val="center"/>
          </w:tcPr>
          <w:p w14:paraId="4DF88715">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216.商业服务业等支出</w:t>
            </w:r>
          </w:p>
        </w:tc>
        <w:tc>
          <w:tcPr>
            <w:tcW w:w="993" w:type="dxa"/>
            <w:noWrap/>
            <w:vAlign w:val="center"/>
          </w:tcPr>
          <w:p w14:paraId="5D2696A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406</w:t>
            </w:r>
          </w:p>
        </w:tc>
        <w:tc>
          <w:tcPr>
            <w:tcW w:w="992" w:type="dxa"/>
            <w:noWrap/>
            <w:vAlign w:val="center"/>
          </w:tcPr>
          <w:p w14:paraId="76E9B1E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694</w:t>
            </w:r>
          </w:p>
        </w:tc>
        <w:tc>
          <w:tcPr>
            <w:tcW w:w="1237" w:type="dxa"/>
            <w:noWrap/>
            <w:vAlign w:val="center"/>
          </w:tcPr>
          <w:p w14:paraId="11C3874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170.94%</w:t>
            </w:r>
          </w:p>
        </w:tc>
      </w:tr>
      <w:tr w14:paraId="2CB19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40C0912F">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环境保护税</w:t>
            </w:r>
          </w:p>
        </w:tc>
        <w:tc>
          <w:tcPr>
            <w:tcW w:w="992" w:type="dxa"/>
            <w:noWrap/>
            <w:vAlign w:val="center"/>
          </w:tcPr>
          <w:p w14:paraId="669A2E0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850" w:type="dxa"/>
            <w:noWrap/>
            <w:vAlign w:val="center"/>
          </w:tcPr>
          <w:p w14:paraId="7A11A07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1134" w:type="dxa"/>
            <w:noWrap/>
            <w:vAlign w:val="center"/>
          </w:tcPr>
          <w:p w14:paraId="478093E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80.00%</w:t>
            </w:r>
          </w:p>
        </w:tc>
        <w:tc>
          <w:tcPr>
            <w:tcW w:w="2835" w:type="dxa"/>
            <w:noWrap/>
            <w:vAlign w:val="center"/>
          </w:tcPr>
          <w:p w14:paraId="29222B82">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220.自然资源海洋气象等支出</w:t>
            </w:r>
          </w:p>
        </w:tc>
        <w:tc>
          <w:tcPr>
            <w:tcW w:w="993" w:type="dxa"/>
            <w:noWrap/>
            <w:vAlign w:val="center"/>
          </w:tcPr>
          <w:p w14:paraId="4C7A286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5109</w:t>
            </w:r>
          </w:p>
        </w:tc>
        <w:tc>
          <w:tcPr>
            <w:tcW w:w="992" w:type="dxa"/>
            <w:noWrap/>
            <w:vAlign w:val="center"/>
          </w:tcPr>
          <w:p w14:paraId="770C897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2420</w:t>
            </w:r>
          </w:p>
        </w:tc>
        <w:tc>
          <w:tcPr>
            <w:tcW w:w="1237" w:type="dxa"/>
            <w:noWrap/>
            <w:vAlign w:val="center"/>
          </w:tcPr>
          <w:p w14:paraId="62D5701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47.37%</w:t>
            </w:r>
          </w:p>
        </w:tc>
      </w:tr>
      <w:tr w14:paraId="1EBC9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450E6682">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其他税收收入</w:t>
            </w:r>
          </w:p>
        </w:tc>
        <w:tc>
          <w:tcPr>
            <w:tcW w:w="992" w:type="dxa"/>
            <w:noWrap/>
            <w:vAlign w:val="center"/>
          </w:tcPr>
          <w:p w14:paraId="627E335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850" w:type="dxa"/>
            <w:noWrap/>
            <w:vAlign w:val="center"/>
          </w:tcPr>
          <w:p w14:paraId="06E0EB1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134" w:type="dxa"/>
            <w:noWrap/>
            <w:vAlign w:val="center"/>
          </w:tcPr>
          <w:p w14:paraId="6C174686">
            <w:pPr>
              <w:jc w:val="center"/>
              <w:rPr>
                <w:rFonts w:hint="eastAsia" w:ascii="Times New Roman" w:hAnsi="Times New Roman" w:eastAsia="宋体" w:cs="宋体"/>
                <w:i w:val="0"/>
                <w:iCs w:val="0"/>
                <w:color w:val="auto"/>
                <w:kern w:val="0"/>
                <w:sz w:val="18"/>
                <w:szCs w:val="18"/>
                <w:u w:val="none"/>
                <w:lang w:val="en-US" w:eastAsia="zh-CN" w:bidi="ar"/>
              </w:rPr>
            </w:pPr>
          </w:p>
        </w:tc>
        <w:tc>
          <w:tcPr>
            <w:tcW w:w="2835" w:type="dxa"/>
            <w:noWrap/>
            <w:vAlign w:val="center"/>
          </w:tcPr>
          <w:p w14:paraId="3AE0BEFC">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221.住房保障支出</w:t>
            </w:r>
          </w:p>
        </w:tc>
        <w:tc>
          <w:tcPr>
            <w:tcW w:w="993" w:type="dxa"/>
            <w:noWrap/>
            <w:vAlign w:val="center"/>
          </w:tcPr>
          <w:p w14:paraId="12E7C99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10636</w:t>
            </w:r>
          </w:p>
        </w:tc>
        <w:tc>
          <w:tcPr>
            <w:tcW w:w="992" w:type="dxa"/>
            <w:noWrap/>
            <w:vAlign w:val="center"/>
          </w:tcPr>
          <w:p w14:paraId="22862BE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2372</w:t>
            </w:r>
          </w:p>
        </w:tc>
        <w:tc>
          <w:tcPr>
            <w:tcW w:w="1237" w:type="dxa"/>
            <w:noWrap/>
            <w:vAlign w:val="center"/>
          </w:tcPr>
          <w:p w14:paraId="15CA3F4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22.30%</w:t>
            </w:r>
          </w:p>
        </w:tc>
      </w:tr>
      <w:tr w14:paraId="1D33B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27E4F9FE">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二、非税收入</w:t>
            </w:r>
          </w:p>
        </w:tc>
        <w:tc>
          <w:tcPr>
            <w:tcW w:w="992" w:type="dxa"/>
            <w:noWrap/>
            <w:vAlign w:val="center"/>
          </w:tcPr>
          <w:p w14:paraId="2782C1A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33000</w:t>
            </w:r>
          </w:p>
        </w:tc>
        <w:tc>
          <w:tcPr>
            <w:tcW w:w="850" w:type="dxa"/>
            <w:noWrap/>
            <w:vAlign w:val="center"/>
          </w:tcPr>
          <w:p w14:paraId="28864EB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18472</w:t>
            </w:r>
          </w:p>
        </w:tc>
        <w:tc>
          <w:tcPr>
            <w:tcW w:w="1134" w:type="dxa"/>
            <w:noWrap/>
            <w:vAlign w:val="center"/>
          </w:tcPr>
          <w:p w14:paraId="52D339E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55.98%</w:t>
            </w:r>
          </w:p>
        </w:tc>
        <w:tc>
          <w:tcPr>
            <w:tcW w:w="2835" w:type="dxa"/>
            <w:noWrap/>
            <w:vAlign w:val="center"/>
          </w:tcPr>
          <w:p w14:paraId="2B990882">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222.粮油物资储备支出</w:t>
            </w:r>
          </w:p>
        </w:tc>
        <w:tc>
          <w:tcPr>
            <w:tcW w:w="993" w:type="dxa"/>
            <w:noWrap/>
            <w:vAlign w:val="center"/>
          </w:tcPr>
          <w:p w14:paraId="4BE65C3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493</w:t>
            </w:r>
          </w:p>
        </w:tc>
        <w:tc>
          <w:tcPr>
            <w:tcW w:w="992" w:type="dxa"/>
            <w:noWrap/>
            <w:vAlign w:val="center"/>
          </w:tcPr>
          <w:p w14:paraId="538BC32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1237" w:type="dxa"/>
            <w:noWrap/>
            <w:vAlign w:val="center"/>
          </w:tcPr>
          <w:p w14:paraId="7188F25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61.66%</w:t>
            </w:r>
          </w:p>
        </w:tc>
      </w:tr>
      <w:tr w14:paraId="0C8EE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65395AF7">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专项收入</w:t>
            </w:r>
          </w:p>
        </w:tc>
        <w:tc>
          <w:tcPr>
            <w:tcW w:w="992" w:type="dxa"/>
            <w:noWrap/>
            <w:vAlign w:val="center"/>
          </w:tcPr>
          <w:p w14:paraId="721375A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5000</w:t>
            </w:r>
          </w:p>
        </w:tc>
        <w:tc>
          <w:tcPr>
            <w:tcW w:w="850" w:type="dxa"/>
            <w:noWrap/>
            <w:vAlign w:val="center"/>
          </w:tcPr>
          <w:p w14:paraId="0EBE2F5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1021</w:t>
            </w:r>
          </w:p>
        </w:tc>
        <w:tc>
          <w:tcPr>
            <w:tcW w:w="1134" w:type="dxa"/>
            <w:noWrap/>
            <w:vAlign w:val="center"/>
          </w:tcPr>
          <w:p w14:paraId="1AD067A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20.42%</w:t>
            </w:r>
          </w:p>
        </w:tc>
        <w:tc>
          <w:tcPr>
            <w:tcW w:w="2835" w:type="dxa"/>
            <w:noWrap/>
            <w:vAlign w:val="center"/>
          </w:tcPr>
          <w:p w14:paraId="0BE61DD7">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224.灾害防治及应急管理支出</w:t>
            </w:r>
          </w:p>
        </w:tc>
        <w:tc>
          <w:tcPr>
            <w:tcW w:w="993" w:type="dxa"/>
            <w:noWrap/>
            <w:vAlign w:val="center"/>
          </w:tcPr>
          <w:p w14:paraId="0DD7FC9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4118</w:t>
            </w:r>
          </w:p>
        </w:tc>
        <w:tc>
          <w:tcPr>
            <w:tcW w:w="992" w:type="dxa"/>
            <w:noWrap/>
            <w:vAlign w:val="center"/>
          </w:tcPr>
          <w:p w14:paraId="324EFE6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4040</w:t>
            </w:r>
          </w:p>
        </w:tc>
        <w:tc>
          <w:tcPr>
            <w:tcW w:w="1237" w:type="dxa"/>
            <w:noWrap/>
            <w:vAlign w:val="center"/>
          </w:tcPr>
          <w:p w14:paraId="730EAED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98.11%</w:t>
            </w:r>
          </w:p>
        </w:tc>
      </w:tr>
      <w:tr w14:paraId="645A3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34BC7B44">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行政事业性收费收入</w:t>
            </w:r>
          </w:p>
        </w:tc>
        <w:tc>
          <w:tcPr>
            <w:tcW w:w="992" w:type="dxa"/>
            <w:noWrap/>
            <w:vAlign w:val="center"/>
          </w:tcPr>
          <w:p w14:paraId="28E93E6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4550</w:t>
            </w:r>
          </w:p>
        </w:tc>
        <w:tc>
          <w:tcPr>
            <w:tcW w:w="850" w:type="dxa"/>
            <w:noWrap/>
            <w:vAlign w:val="center"/>
          </w:tcPr>
          <w:p w14:paraId="0282544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1673</w:t>
            </w:r>
          </w:p>
        </w:tc>
        <w:tc>
          <w:tcPr>
            <w:tcW w:w="1134" w:type="dxa"/>
            <w:noWrap/>
            <w:vAlign w:val="center"/>
          </w:tcPr>
          <w:p w14:paraId="0FD75DC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36.77%</w:t>
            </w:r>
          </w:p>
        </w:tc>
        <w:tc>
          <w:tcPr>
            <w:tcW w:w="2835" w:type="dxa"/>
            <w:noWrap/>
            <w:vAlign w:val="center"/>
          </w:tcPr>
          <w:p w14:paraId="2C5896C9">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227.预备费</w:t>
            </w:r>
          </w:p>
        </w:tc>
        <w:tc>
          <w:tcPr>
            <w:tcW w:w="993" w:type="dxa"/>
            <w:noWrap/>
            <w:vAlign w:val="center"/>
          </w:tcPr>
          <w:p w14:paraId="0BF29EC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3660</w:t>
            </w:r>
          </w:p>
        </w:tc>
        <w:tc>
          <w:tcPr>
            <w:tcW w:w="992" w:type="dxa"/>
            <w:noWrap/>
            <w:vAlign w:val="center"/>
          </w:tcPr>
          <w:p w14:paraId="0471C83B">
            <w:pPr>
              <w:keepNext w:val="0"/>
              <w:keepLines w:val="0"/>
              <w:widowControl/>
              <w:suppressLineNumbers w:val="0"/>
              <w:jc w:val="center"/>
              <w:textAlignment w:val="center"/>
              <w:rPr>
                <w:rFonts w:hint="default"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237" w:type="dxa"/>
            <w:noWrap/>
            <w:vAlign w:val="center"/>
          </w:tcPr>
          <w:p w14:paraId="3E95C54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46A7C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23343672">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罚没收入</w:t>
            </w:r>
          </w:p>
        </w:tc>
        <w:tc>
          <w:tcPr>
            <w:tcW w:w="992" w:type="dxa"/>
            <w:noWrap/>
            <w:vAlign w:val="center"/>
          </w:tcPr>
          <w:p w14:paraId="0636C19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6150</w:t>
            </w:r>
          </w:p>
        </w:tc>
        <w:tc>
          <w:tcPr>
            <w:tcW w:w="850" w:type="dxa"/>
            <w:noWrap/>
            <w:vAlign w:val="center"/>
          </w:tcPr>
          <w:p w14:paraId="4D2C958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5705</w:t>
            </w:r>
          </w:p>
        </w:tc>
        <w:tc>
          <w:tcPr>
            <w:tcW w:w="1134" w:type="dxa"/>
            <w:noWrap/>
            <w:vAlign w:val="center"/>
          </w:tcPr>
          <w:p w14:paraId="61FE636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92.76%</w:t>
            </w:r>
          </w:p>
        </w:tc>
        <w:tc>
          <w:tcPr>
            <w:tcW w:w="2835" w:type="dxa"/>
            <w:noWrap/>
            <w:vAlign w:val="center"/>
          </w:tcPr>
          <w:p w14:paraId="461FF7E1">
            <w:pPr>
              <w:keepNext w:val="0"/>
              <w:keepLines w:val="0"/>
              <w:widowControl/>
              <w:suppressLineNumbers w:val="0"/>
              <w:jc w:val="left"/>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18"/>
                <w:szCs w:val="18"/>
                <w:u w:val="none"/>
                <w:lang w:val="en-US" w:eastAsia="zh-CN" w:bidi="ar"/>
              </w:rPr>
              <w:t>232.债务付息支出</w:t>
            </w:r>
          </w:p>
        </w:tc>
        <w:tc>
          <w:tcPr>
            <w:tcW w:w="993" w:type="dxa"/>
            <w:noWrap/>
            <w:vAlign w:val="center"/>
          </w:tcPr>
          <w:p w14:paraId="68A88CF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7000</w:t>
            </w:r>
          </w:p>
        </w:tc>
        <w:tc>
          <w:tcPr>
            <w:tcW w:w="992" w:type="dxa"/>
            <w:noWrap/>
            <w:vAlign w:val="center"/>
          </w:tcPr>
          <w:p w14:paraId="537F2A0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4527</w:t>
            </w:r>
          </w:p>
        </w:tc>
        <w:tc>
          <w:tcPr>
            <w:tcW w:w="1237" w:type="dxa"/>
            <w:noWrap/>
            <w:vAlign w:val="center"/>
          </w:tcPr>
          <w:p w14:paraId="7FB5587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64.67%</w:t>
            </w:r>
          </w:p>
        </w:tc>
      </w:tr>
      <w:tr w14:paraId="25567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233477B9">
            <w:pPr>
              <w:keepNext w:val="0"/>
              <w:keepLines w:val="0"/>
              <w:widowControl/>
              <w:suppressLineNumbers w:val="0"/>
              <w:jc w:val="both"/>
              <w:textAlignment w:val="center"/>
              <w:rPr>
                <w:rFonts w:hint="eastAsia" w:ascii="Times New Roman" w:hAnsi="Times New Roman"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国有资源（产）有偿使用收入</w:t>
            </w:r>
          </w:p>
        </w:tc>
        <w:tc>
          <w:tcPr>
            <w:tcW w:w="992" w:type="dxa"/>
            <w:noWrap/>
            <w:vAlign w:val="center"/>
          </w:tcPr>
          <w:p w14:paraId="4DD9E08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10000</w:t>
            </w:r>
          </w:p>
        </w:tc>
        <w:tc>
          <w:tcPr>
            <w:tcW w:w="850" w:type="dxa"/>
            <w:noWrap/>
            <w:vAlign w:val="center"/>
          </w:tcPr>
          <w:p w14:paraId="68CF9E2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2976</w:t>
            </w:r>
          </w:p>
        </w:tc>
        <w:tc>
          <w:tcPr>
            <w:tcW w:w="1134" w:type="dxa"/>
            <w:noWrap/>
            <w:vAlign w:val="center"/>
          </w:tcPr>
          <w:p w14:paraId="44AE020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29.76%</w:t>
            </w:r>
          </w:p>
        </w:tc>
        <w:tc>
          <w:tcPr>
            <w:tcW w:w="2835" w:type="dxa"/>
            <w:noWrap/>
            <w:vAlign w:val="center"/>
          </w:tcPr>
          <w:p w14:paraId="16321FBE">
            <w:pPr>
              <w:keepNext w:val="0"/>
              <w:keepLines w:val="0"/>
              <w:widowControl/>
              <w:suppressLineNumbers w:val="0"/>
              <w:jc w:val="left"/>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233.债务发行费用支出</w:t>
            </w:r>
          </w:p>
        </w:tc>
        <w:tc>
          <w:tcPr>
            <w:tcW w:w="993" w:type="dxa"/>
            <w:noWrap/>
            <w:vAlign w:val="center"/>
          </w:tcPr>
          <w:p w14:paraId="7E063F2D">
            <w:pPr>
              <w:keepNext w:val="0"/>
              <w:keepLines w:val="0"/>
              <w:widowControl/>
              <w:suppressLineNumbers w:val="0"/>
              <w:jc w:val="center"/>
              <w:textAlignment w:val="center"/>
              <w:rPr>
                <w:rFonts w:hint="default"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992" w:type="dxa"/>
            <w:noWrap/>
            <w:vAlign w:val="center"/>
          </w:tcPr>
          <w:p w14:paraId="6F910D4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237" w:type="dxa"/>
            <w:noWrap/>
            <w:vAlign w:val="center"/>
          </w:tcPr>
          <w:p w14:paraId="005AC4DA">
            <w:pPr>
              <w:jc w:val="center"/>
              <w:rPr>
                <w:rFonts w:hint="eastAsia" w:ascii="Times New Roman" w:hAnsi="Times New Roman" w:eastAsia="宋体" w:cs="宋体"/>
                <w:i w:val="0"/>
                <w:iCs w:val="0"/>
                <w:color w:val="auto"/>
                <w:kern w:val="0"/>
                <w:sz w:val="18"/>
                <w:szCs w:val="18"/>
                <w:u w:val="none"/>
                <w:lang w:val="en-US" w:eastAsia="zh-CN" w:bidi="ar"/>
              </w:rPr>
            </w:pPr>
          </w:p>
        </w:tc>
      </w:tr>
      <w:tr w14:paraId="4E1D9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4AFB3916">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捐赠收入</w:t>
            </w:r>
          </w:p>
        </w:tc>
        <w:tc>
          <w:tcPr>
            <w:tcW w:w="992" w:type="dxa"/>
            <w:noWrap/>
            <w:vAlign w:val="center"/>
          </w:tcPr>
          <w:p w14:paraId="7FF7BD0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5000</w:t>
            </w:r>
          </w:p>
        </w:tc>
        <w:tc>
          <w:tcPr>
            <w:tcW w:w="850" w:type="dxa"/>
            <w:noWrap/>
            <w:vAlign w:val="center"/>
          </w:tcPr>
          <w:p w14:paraId="6C0DA8A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5148</w:t>
            </w:r>
          </w:p>
        </w:tc>
        <w:tc>
          <w:tcPr>
            <w:tcW w:w="1134" w:type="dxa"/>
            <w:noWrap/>
            <w:vAlign w:val="center"/>
          </w:tcPr>
          <w:p w14:paraId="3C76DDB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102.96%</w:t>
            </w:r>
          </w:p>
        </w:tc>
        <w:tc>
          <w:tcPr>
            <w:tcW w:w="2835" w:type="dxa"/>
            <w:noWrap/>
            <w:vAlign w:val="center"/>
          </w:tcPr>
          <w:p w14:paraId="1C15DF5D">
            <w:pPr>
              <w:jc w:val="left"/>
              <w:rPr>
                <w:rFonts w:hint="eastAsia" w:ascii="Times New Roman" w:hAnsi="Times New Roman" w:eastAsia="宋体" w:cs="宋体"/>
                <w:color w:val="auto"/>
                <w:kern w:val="0"/>
                <w:sz w:val="20"/>
                <w:szCs w:val="20"/>
              </w:rPr>
            </w:pPr>
          </w:p>
        </w:tc>
        <w:tc>
          <w:tcPr>
            <w:tcW w:w="993" w:type="dxa"/>
            <w:noWrap/>
            <w:vAlign w:val="center"/>
          </w:tcPr>
          <w:p w14:paraId="0DCA8828">
            <w:pPr>
              <w:jc w:val="center"/>
              <w:rPr>
                <w:rFonts w:hint="eastAsia" w:ascii="Times New Roman" w:hAnsi="Times New Roman" w:eastAsia="宋体" w:cs="宋体"/>
                <w:i w:val="0"/>
                <w:iCs w:val="0"/>
                <w:color w:val="auto"/>
                <w:kern w:val="0"/>
                <w:sz w:val="18"/>
                <w:szCs w:val="18"/>
                <w:u w:val="none"/>
                <w:lang w:val="en-US" w:eastAsia="zh-CN" w:bidi="ar"/>
              </w:rPr>
            </w:pPr>
          </w:p>
        </w:tc>
        <w:tc>
          <w:tcPr>
            <w:tcW w:w="992" w:type="dxa"/>
            <w:noWrap/>
            <w:vAlign w:val="center"/>
          </w:tcPr>
          <w:p w14:paraId="3DDA7F0D">
            <w:pPr>
              <w:jc w:val="center"/>
              <w:rPr>
                <w:rFonts w:hint="eastAsia" w:ascii="Times New Roman" w:hAnsi="Times New Roman" w:eastAsia="宋体" w:cs="宋体"/>
                <w:i w:val="0"/>
                <w:iCs w:val="0"/>
                <w:color w:val="auto"/>
                <w:kern w:val="0"/>
                <w:sz w:val="18"/>
                <w:szCs w:val="18"/>
                <w:u w:val="none"/>
                <w:lang w:val="en-US" w:eastAsia="zh-CN" w:bidi="ar"/>
              </w:rPr>
            </w:pPr>
          </w:p>
        </w:tc>
        <w:tc>
          <w:tcPr>
            <w:tcW w:w="1237" w:type="dxa"/>
            <w:noWrap/>
            <w:vAlign w:val="center"/>
          </w:tcPr>
          <w:p w14:paraId="07464A87">
            <w:pPr>
              <w:jc w:val="center"/>
              <w:rPr>
                <w:rFonts w:hint="eastAsia" w:ascii="Times New Roman" w:hAnsi="Times New Roman" w:eastAsia="宋体" w:cs="宋体"/>
                <w:i w:val="0"/>
                <w:iCs w:val="0"/>
                <w:color w:val="auto"/>
                <w:kern w:val="0"/>
                <w:sz w:val="18"/>
                <w:szCs w:val="18"/>
                <w:u w:val="none"/>
                <w:lang w:val="en-US" w:eastAsia="zh-CN" w:bidi="ar"/>
              </w:rPr>
            </w:pPr>
          </w:p>
        </w:tc>
      </w:tr>
      <w:tr w14:paraId="4772F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4DC61356">
            <w:pPr>
              <w:keepNext w:val="0"/>
              <w:keepLines w:val="0"/>
              <w:widowControl/>
              <w:suppressLineNumbers w:val="0"/>
              <w:jc w:val="both"/>
              <w:textAlignment w:val="center"/>
              <w:rPr>
                <w:rFonts w:hint="eastAsia" w:ascii="Times New Roman" w:hAnsi="Times New Roman" w:eastAsia="宋体" w:cs="宋体"/>
                <w:color w:val="auto"/>
                <w:kern w:val="0"/>
                <w:sz w:val="20"/>
                <w:szCs w:val="20"/>
              </w:rPr>
            </w:pPr>
            <w:r>
              <w:rPr>
                <w:rFonts w:hint="eastAsia" w:ascii="宋体" w:hAnsi="宋体" w:eastAsia="宋体" w:cs="宋体"/>
                <w:i w:val="0"/>
                <w:iCs w:val="0"/>
                <w:color w:val="000000"/>
                <w:kern w:val="0"/>
                <w:sz w:val="20"/>
                <w:szCs w:val="20"/>
                <w:u w:val="none"/>
                <w:lang w:val="en-US" w:eastAsia="zh-CN" w:bidi="ar"/>
              </w:rPr>
              <w:t>政府住房基金收入</w:t>
            </w:r>
          </w:p>
        </w:tc>
        <w:tc>
          <w:tcPr>
            <w:tcW w:w="992" w:type="dxa"/>
            <w:noWrap/>
            <w:vAlign w:val="center"/>
          </w:tcPr>
          <w:p w14:paraId="0DD795E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w:t>
            </w:r>
          </w:p>
        </w:tc>
        <w:tc>
          <w:tcPr>
            <w:tcW w:w="850" w:type="dxa"/>
            <w:noWrap/>
            <w:vAlign w:val="center"/>
          </w:tcPr>
          <w:p w14:paraId="474EF63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1802</w:t>
            </w:r>
          </w:p>
        </w:tc>
        <w:tc>
          <w:tcPr>
            <w:tcW w:w="1134" w:type="dxa"/>
            <w:noWrap/>
            <w:vAlign w:val="center"/>
          </w:tcPr>
          <w:p w14:paraId="28938AE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90.10%</w:t>
            </w:r>
          </w:p>
        </w:tc>
        <w:tc>
          <w:tcPr>
            <w:tcW w:w="2835" w:type="dxa"/>
            <w:noWrap/>
            <w:vAlign w:val="center"/>
          </w:tcPr>
          <w:p w14:paraId="23156B35">
            <w:pPr>
              <w:jc w:val="left"/>
              <w:rPr>
                <w:rFonts w:hint="eastAsia" w:ascii="Times New Roman" w:hAnsi="Times New Roman" w:eastAsia="宋体" w:cs="宋体"/>
                <w:color w:val="auto"/>
                <w:kern w:val="0"/>
                <w:sz w:val="20"/>
                <w:szCs w:val="20"/>
              </w:rPr>
            </w:pPr>
          </w:p>
        </w:tc>
        <w:tc>
          <w:tcPr>
            <w:tcW w:w="993" w:type="dxa"/>
            <w:noWrap/>
            <w:vAlign w:val="center"/>
          </w:tcPr>
          <w:p w14:paraId="3ABD9DDF">
            <w:pPr>
              <w:jc w:val="center"/>
              <w:rPr>
                <w:rFonts w:hint="eastAsia" w:ascii="Times New Roman" w:hAnsi="Times New Roman" w:eastAsia="宋体" w:cs="宋体"/>
                <w:i w:val="0"/>
                <w:iCs w:val="0"/>
                <w:color w:val="auto"/>
                <w:kern w:val="0"/>
                <w:sz w:val="18"/>
                <w:szCs w:val="18"/>
                <w:u w:val="none"/>
                <w:lang w:val="en-US" w:eastAsia="zh-CN" w:bidi="ar"/>
              </w:rPr>
            </w:pPr>
          </w:p>
        </w:tc>
        <w:tc>
          <w:tcPr>
            <w:tcW w:w="992" w:type="dxa"/>
            <w:noWrap/>
            <w:vAlign w:val="center"/>
          </w:tcPr>
          <w:p w14:paraId="5FA76EC4">
            <w:pPr>
              <w:jc w:val="center"/>
              <w:rPr>
                <w:rFonts w:hint="eastAsia" w:ascii="Times New Roman" w:hAnsi="Times New Roman" w:eastAsia="宋体" w:cs="宋体"/>
                <w:i w:val="0"/>
                <w:iCs w:val="0"/>
                <w:color w:val="auto"/>
                <w:kern w:val="0"/>
                <w:sz w:val="18"/>
                <w:szCs w:val="18"/>
                <w:u w:val="none"/>
                <w:lang w:val="en-US" w:eastAsia="zh-CN" w:bidi="ar"/>
              </w:rPr>
            </w:pPr>
          </w:p>
        </w:tc>
        <w:tc>
          <w:tcPr>
            <w:tcW w:w="1237" w:type="dxa"/>
            <w:noWrap/>
            <w:vAlign w:val="center"/>
          </w:tcPr>
          <w:p w14:paraId="147B4B11">
            <w:pPr>
              <w:jc w:val="center"/>
              <w:rPr>
                <w:rFonts w:hint="eastAsia" w:ascii="Times New Roman" w:hAnsi="Times New Roman" w:eastAsia="宋体" w:cs="宋体"/>
                <w:i w:val="0"/>
                <w:iCs w:val="0"/>
                <w:color w:val="auto"/>
                <w:kern w:val="0"/>
                <w:sz w:val="18"/>
                <w:szCs w:val="18"/>
                <w:u w:val="none"/>
                <w:lang w:val="en-US" w:eastAsia="zh-CN" w:bidi="ar"/>
              </w:rPr>
            </w:pPr>
          </w:p>
        </w:tc>
      </w:tr>
      <w:tr w14:paraId="3F0A6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254" w:type="dxa"/>
            <w:noWrap/>
            <w:vAlign w:val="center"/>
          </w:tcPr>
          <w:p w14:paraId="6726DB9B">
            <w:pPr>
              <w:keepNext w:val="0"/>
              <w:keepLines w:val="0"/>
              <w:widowControl/>
              <w:suppressLineNumbers w:val="0"/>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其他</w:t>
            </w:r>
            <w:r>
              <w:rPr>
                <w:rFonts w:hint="eastAsia" w:ascii="宋体" w:hAnsi="宋体" w:eastAsia="宋体" w:cs="宋体"/>
                <w:i w:val="0"/>
                <w:iCs w:val="0"/>
                <w:color w:val="000000"/>
                <w:kern w:val="0"/>
                <w:sz w:val="20"/>
                <w:szCs w:val="20"/>
                <w:u w:val="none"/>
                <w:lang w:val="en-US" w:eastAsia="zh-CN" w:bidi="ar"/>
              </w:rPr>
              <w:t>收入</w:t>
            </w:r>
          </w:p>
        </w:tc>
        <w:tc>
          <w:tcPr>
            <w:tcW w:w="992" w:type="dxa"/>
            <w:noWrap/>
            <w:vAlign w:val="center"/>
          </w:tcPr>
          <w:p w14:paraId="10DF93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50" w:type="dxa"/>
            <w:noWrap/>
            <w:vAlign w:val="center"/>
          </w:tcPr>
          <w:p w14:paraId="2DC87B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147</w:t>
            </w:r>
          </w:p>
        </w:tc>
        <w:tc>
          <w:tcPr>
            <w:tcW w:w="1134" w:type="dxa"/>
            <w:noWrap/>
            <w:vAlign w:val="center"/>
          </w:tcPr>
          <w:p w14:paraId="7B456C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49.00%</w:t>
            </w:r>
          </w:p>
        </w:tc>
        <w:tc>
          <w:tcPr>
            <w:tcW w:w="2835" w:type="dxa"/>
            <w:noWrap/>
            <w:vAlign w:val="center"/>
          </w:tcPr>
          <w:p w14:paraId="3E18A6D0">
            <w:pPr>
              <w:jc w:val="both"/>
              <w:rPr>
                <w:rFonts w:hint="eastAsia" w:ascii="Times New Roman" w:hAnsi="Times New Roman" w:eastAsia="宋体" w:cs="宋体"/>
                <w:color w:val="auto"/>
                <w:kern w:val="0"/>
                <w:sz w:val="20"/>
                <w:szCs w:val="20"/>
              </w:rPr>
            </w:pPr>
          </w:p>
        </w:tc>
        <w:tc>
          <w:tcPr>
            <w:tcW w:w="993" w:type="dxa"/>
            <w:noWrap/>
            <w:vAlign w:val="center"/>
          </w:tcPr>
          <w:p w14:paraId="2F26E456">
            <w:pPr>
              <w:jc w:val="center"/>
              <w:rPr>
                <w:rFonts w:hint="eastAsia" w:ascii="Times New Roman" w:hAnsi="Times New Roman" w:eastAsia="宋体" w:cs="宋体"/>
                <w:i w:val="0"/>
                <w:iCs w:val="0"/>
                <w:color w:val="auto"/>
                <w:kern w:val="0"/>
                <w:sz w:val="18"/>
                <w:szCs w:val="18"/>
                <w:u w:val="none"/>
                <w:lang w:val="en-US" w:eastAsia="zh-CN" w:bidi="ar"/>
              </w:rPr>
            </w:pPr>
          </w:p>
        </w:tc>
        <w:tc>
          <w:tcPr>
            <w:tcW w:w="992" w:type="dxa"/>
            <w:noWrap/>
            <w:vAlign w:val="center"/>
          </w:tcPr>
          <w:p w14:paraId="7A1077CC">
            <w:pPr>
              <w:jc w:val="center"/>
              <w:rPr>
                <w:rFonts w:hint="eastAsia" w:ascii="Times New Roman" w:hAnsi="Times New Roman" w:eastAsia="宋体" w:cs="宋体"/>
                <w:i w:val="0"/>
                <w:iCs w:val="0"/>
                <w:color w:val="auto"/>
                <w:kern w:val="0"/>
                <w:sz w:val="18"/>
                <w:szCs w:val="18"/>
                <w:u w:val="none"/>
                <w:lang w:val="en-US" w:eastAsia="zh-CN" w:bidi="ar"/>
              </w:rPr>
            </w:pPr>
          </w:p>
        </w:tc>
        <w:tc>
          <w:tcPr>
            <w:tcW w:w="1237" w:type="dxa"/>
            <w:noWrap/>
            <w:vAlign w:val="center"/>
          </w:tcPr>
          <w:p w14:paraId="0758939C">
            <w:pPr>
              <w:jc w:val="center"/>
              <w:rPr>
                <w:rFonts w:hint="eastAsia" w:ascii="Times New Roman" w:hAnsi="Times New Roman" w:eastAsia="宋体" w:cs="宋体"/>
                <w:i w:val="0"/>
                <w:iCs w:val="0"/>
                <w:color w:val="auto"/>
                <w:kern w:val="0"/>
                <w:sz w:val="18"/>
                <w:szCs w:val="18"/>
                <w:u w:val="none"/>
                <w:lang w:val="en-US" w:eastAsia="zh-CN" w:bidi="ar"/>
              </w:rPr>
            </w:pPr>
          </w:p>
        </w:tc>
      </w:tr>
    </w:tbl>
    <w:p w14:paraId="17B7521F">
      <w:pPr>
        <w:rPr>
          <w:rFonts w:hint="eastAsia" w:ascii="黑体" w:hAnsi="黑体" w:eastAsia="黑体" w:cs="黑体"/>
          <w:sz w:val="32"/>
          <w:szCs w:val="32"/>
        </w:rPr>
      </w:pPr>
      <w:r>
        <w:rPr>
          <w:rFonts w:hint="eastAsia" w:ascii="黑体" w:hAnsi="黑体" w:eastAsia="黑体" w:cs="黑体"/>
          <w:sz w:val="32"/>
          <w:szCs w:val="32"/>
        </w:rPr>
        <w:br w:type="page"/>
      </w:r>
    </w:p>
    <w:p w14:paraId="53F524C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sz w:val="32"/>
          <w:szCs w:val="32"/>
        </w:rPr>
      </w:pPr>
    </w:p>
    <w:p w14:paraId="12EB3639">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3-02</w:t>
      </w:r>
    </w:p>
    <w:p w14:paraId="21BC0EAC">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秭归县202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年上半年政府性基金预算执行情况表</w:t>
      </w:r>
    </w:p>
    <w:p w14:paraId="3CF8F48E">
      <w:pPr>
        <w:jc w:val="right"/>
        <w:rPr>
          <w:rFonts w:hint="eastAsia"/>
          <w:sz w:val="24"/>
          <w:szCs w:val="24"/>
        </w:rPr>
      </w:pPr>
      <w:r>
        <w:rPr>
          <w:rFonts w:hint="eastAsia"/>
        </w:rPr>
        <w:t xml:space="preserve">                                                          </w:t>
      </w:r>
      <w:r>
        <w:rPr>
          <w:rFonts w:hint="eastAsia"/>
          <w:sz w:val="24"/>
          <w:szCs w:val="24"/>
          <w:lang w:val="en-US" w:eastAsia="zh-CN"/>
        </w:rPr>
        <w:t xml:space="preserve"> </w:t>
      </w:r>
      <w:r>
        <w:rPr>
          <w:rFonts w:hint="eastAsia"/>
          <w:sz w:val="24"/>
          <w:szCs w:val="24"/>
        </w:rPr>
        <w:t>单位：万元</w:t>
      </w:r>
    </w:p>
    <w:tbl>
      <w:tblPr>
        <w:tblStyle w:val="8"/>
        <w:tblW w:w="12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9"/>
        <w:gridCol w:w="1110"/>
        <w:gridCol w:w="945"/>
        <w:gridCol w:w="1125"/>
        <w:gridCol w:w="3587"/>
        <w:gridCol w:w="903"/>
        <w:gridCol w:w="940"/>
        <w:gridCol w:w="1122"/>
      </w:tblGrid>
      <w:tr w14:paraId="1E7DF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40B02FC2">
            <w:pPr>
              <w:widowControl/>
              <w:jc w:val="center"/>
              <w:rPr>
                <w:rFonts w:ascii="Times New Roman" w:hAnsi="Times New Roman" w:cs="宋体"/>
                <w:b/>
                <w:color w:val="auto"/>
                <w:kern w:val="0"/>
                <w:sz w:val="18"/>
                <w:szCs w:val="18"/>
              </w:rPr>
            </w:pPr>
            <w:r>
              <w:rPr>
                <w:rFonts w:hint="eastAsia" w:ascii="Times New Roman" w:hAnsi="Times New Roman" w:cs="宋体"/>
                <w:b/>
                <w:color w:val="auto"/>
                <w:kern w:val="0"/>
                <w:sz w:val="18"/>
                <w:szCs w:val="18"/>
              </w:rPr>
              <w:t>收入</w:t>
            </w:r>
          </w:p>
        </w:tc>
        <w:tc>
          <w:tcPr>
            <w:tcW w:w="1110" w:type="dxa"/>
            <w:noWrap/>
            <w:vAlign w:val="center"/>
          </w:tcPr>
          <w:p w14:paraId="3EDB8B5F">
            <w:pPr>
              <w:widowControl/>
              <w:jc w:val="center"/>
              <w:rPr>
                <w:rFonts w:hint="eastAsia" w:ascii="Times New Roman" w:hAnsi="Times New Roman" w:eastAsia="宋体" w:cs="宋体"/>
                <w:b/>
                <w:color w:val="auto"/>
                <w:kern w:val="0"/>
                <w:sz w:val="18"/>
                <w:szCs w:val="18"/>
                <w:lang w:eastAsia="zh-CN"/>
              </w:rPr>
            </w:pPr>
            <w:r>
              <w:rPr>
                <w:rFonts w:hint="eastAsia" w:ascii="Times New Roman" w:hAnsi="Times New Roman" w:cs="宋体"/>
                <w:b/>
                <w:color w:val="auto"/>
                <w:kern w:val="0"/>
                <w:sz w:val="18"/>
                <w:szCs w:val="18"/>
              </w:rPr>
              <w:t>计划</w:t>
            </w:r>
            <w:r>
              <w:rPr>
                <w:rFonts w:hint="eastAsia" w:ascii="Times New Roman" w:hAnsi="Times New Roman" w:cs="宋体"/>
                <w:b/>
                <w:color w:val="auto"/>
                <w:kern w:val="0"/>
                <w:sz w:val="18"/>
                <w:szCs w:val="18"/>
                <w:lang w:eastAsia="zh-CN"/>
              </w:rPr>
              <w:t>数</w:t>
            </w:r>
          </w:p>
        </w:tc>
        <w:tc>
          <w:tcPr>
            <w:tcW w:w="945" w:type="dxa"/>
            <w:noWrap/>
            <w:vAlign w:val="center"/>
          </w:tcPr>
          <w:p w14:paraId="4AEEE0AF">
            <w:pPr>
              <w:widowControl/>
              <w:jc w:val="center"/>
              <w:rPr>
                <w:rFonts w:ascii="Times New Roman" w:hAnsi="Times New Roman" w:cs="宋体"/>
                <w:b/>
                <w:color w:val="auto"/>
                <w:kern w:val="0"/>
                <w:sz w:val="18"/>
                <w:szCs w:val="18"/>
              </w:rPr>
            </w:pPr>
            <w:r>
              <w:rPr>
                <w:rFonts w:hint="eastAsia" w:ascii="Times New Roman" w:hAnsi="Times New Roman" w:cs="宋体"/>
                <w:b/>
                <w:color w:val="auto"/>
                <w:kern w:val="0"/>
                <w:sz w:val="18"/>
                <w:szCs w:val="18"/>
                <w:lang w:eastAsia="zh-CN"/>
              </w:rPr>
              <w:t>执行</w:t>
            </w:r>
            <w:r>
              <w:rPr>
                <w:rFonts w:hint="eastAsia" w:ascii="Times New Roman" w:hAnsi="Times New Roman" w:cs="宋体"/>
                <w:b/>
                <w:color w:val="auto"/>
                <w:kern w:val="0"/>
                <w:sz w:val="18"/>
                <w:szCs w:val="18"/>
              </w:rPr>
              <w:t>数</w:t>
            </w:r>
          </w:p>
        </w:tc>
        <w:tc>
          <w:tcPr>
            <w:tcW w:w="1125" w:type="dxa"/>
            <w:noWrap/>
            <w:vAlign w:val="center"/>
          </w:tcPr>
          <w:p w14:paraId="0C0FECEC">
            <w:pPr>
              <w:widowControl/>
              <w:jc w:val="center"/>
              <w:rPr>
                <w:rFonts w:ascii="Times New Roman" w:hAnsi="Times New Roman" w:cs="宋体"/>
                <w:b/>
                <w:color w:val="auto"/>
                <w:kern w:val="0"/>
                <w:sz w:val="18"/>
                <w:szCs w:val="18"/>
              </w:rPr>
            </w:pPr>
            <w:r>
              <w:rPr>
                <w:rFonts w:hint="eastAsia" w:ascii="Times New Roman" w:hAnsi="Times New Roman" w:cs="宋体"/>
                <w:b/>
                <w:color w:val="auto"/>
                <w:kern w:val="0"/>
                <w:sz w:val="18"/>
                <w:szCs w:val="18"/>
              </w:rPr>
              <w:t>占计划%</w:t>
            </w:r>
          </w:p>
        </w:tc>
        <w:tc>
          <w:tcPr>
            <w:tcW w:w="3587" w:type="dxa"/>
            <w:noWrap/>
            <w:vAlign w:val="center"/>
          </w:tcPr>
          <w:p w14:paraId="53ADB2E1">
            <w:pPr>
              <w:widowControl/>
              <w:jc w:val="center"/>
              <w:rPr>
                <w:rFonts w:ascii="Times New Roman" w:hAnsi="Times New Roman" w:cs="宋体"/>
                <w:b/>
                <w:color w:val="auto"/>
                <w:kern w:val="0"/>
                <w:sz w:val="18"/>
                <w:szCs w:val="18"/>
              </w:rPr>
            </w:pPr>
            <w:r>
              <w:rPr>
                <w:rFonts w:hint="eastAsia" w:ascii="Times New Roman" w:hAnsi="Times New Roman" w:cs="宋体"/>
                <w:b/>
                <w:color w:val="auto"/>
                <w:kern w:val="0"/>
                <w:sz w:val="18"/>
                <w:szCs w:val="18"/>
              </w:rPr>
              <w:t>支出</w:t>
            </w:r>
          </w:p>
        </w:tc>
        <w:tc>
          <w:tcPr>
            <w:tcW w:w="903" w:type="dxa"/>
            <w:noWrap/>
            <w:vAlign w:val="center"/>
          </w:tcPr>
          <w:p w14:paraId="71153422">
            <w:pPr>
              <w:widowControl/>
              <w:jc w:val="center"/>
              <w:rPr>
                <w:rFonts w:hint="eastAsia" w:ascii="Times New Roman" w:hAnsi="Times New Roman" w:eastAsia="宋体" w:cs="宋体"/>
                <w:b/>
                <w:color w:val="auto"/>
                <w:kern w:val="0"/>
                <w:sz w:val="18"/>
                <w:szCs w:val="18"/>
                <w:lang w:eastAsia="zh-CN"/>
              </w:rPr>
            </w:pPr>
            <w:r>
              <w:rPr>
                <w:rFonts w:hint="eastAsia" w:ascii="Times New Roman" w:hAnsi="Times New Roman" w:cs="宋体"/>
                <w:b/>
                <w:color w:val="auto"/>
                <w:kern w:val="0"/>
                <w:sz w:val="18"/>
                <w:szCs w:val="18"/>
              </w:rPr>
              <w:t>计划</w:t>
            </w:r>
            <w:r>
              <w:rPr>
                <w:rFonts w:hint="eastAsia" w:ascii="Times New Roman" w:hAnsi="Times New Roman" w:cs="宋体"/>
                <w:b/>
                <w:color w:val="auto"/>
                <w:kern w:val="0"/>
                <w:sz w:val="18"/>
                <w:szCs w:val="18"/>
                <w:lang w:eastAsia="zh-CN"/>
              </w:rPr>
              <w:t>数</w:t>
            </w:r>
          </w:p>
        </w:tc>
        <w:tc>
          <w:tcPr>
            <w:tcW w:w="940" w:type="dxa"/>
            <w:noWrap/>
            <w:vAlign w:val="center"/>
          </w:tcPr>
          <w:p w14:paraId="09D81DED">
            <w:pPr>
              <w:widowControl/>
              <w:jc w:val="center"/>
              <w:rPr>
                <w:rFonts w:ascii="Times New Roman" w:hAnsi="Times New Roman" w:cs="宋体"/>
                <w:b/>
                <w:color w:val="auto"/>
                <w:kern w:val="0"/>
                <w:sz w:val="18"/>
                <w:szCs w:val="18"/>
              </w:rPr>
            </w:pPr>
            <w:r>
              <w:rPr>
                <w:rFonts w:hint="eastAsia" w:ascii="Times New Roman" w:hAnsi="Times New Roman" w:cs="宋体"/>
                <w:b/>
                <w:color w:val="auto"/>
                <w:kern w:val="0"/>
                <w:sz w:val="18"/>
                <w:szCs w:val="18"/>
              </w:rPr>
              <w:t>执行数</w:t>
            </w:r>
          </w:p>
        </w:tc>
        <w:tc>
          <w:tcPr>
            <w:tcW w:w="1122" w:type="dxa"/>
            <w:noWrap/>
            <w:vAlign w:val="center"/>
          </w:tcPr>
          <w:p w14:paraId="756D0D9B">
            <w:pPr>
              <w:widowControl/>
              <w:jc w:val="center"/>
              <w:rPr>
                <w:rFonts w:ascii="Times New Roman" w:hAnsi="Times New Roman" w:cs="宋体"/>
                <w:b/>
                <w:color w:val="auto"/>
                <w:kern w:val="0"/>
                <w:sz w:val="18"/>
                <w:szCs w:val="18"/>
              </w:rPr>
            </w:pPr>
            <w:r>
              <w:rPr>
                <w:rFonts w:hint="eastAsia" w:ascii="Times New Roman" w:hAnsi="Times New Roman" w:cs="宋体"/>
                <w:b/>
                <w:color w:val="auto"/>
                <w:kern w:val="0"/>
                <w:sz w:val="18"/>
                <w:szCs w:val="18"/>
              </w:rPr>
              <w:t>占计划%</w:t>
            </w:r>
          </w:p>
        </w:tc>
      </w:tr>
      <w:tr w14:paraId="6137C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1E4E2452">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合    计</w:t>
            </w:r>
          </w:p>
        </w:tc>
        <w:tc>
          <w:tcPr>
            <w:tcW w:w="1110" w:type="dxa"/>
            <w:noWrap/>
            <w:vAlign w:val="center"/>
          </w:tcPr>
          <w:p w14:paraId="4C794EB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49381</w:t>
            </w:r>
          </w:p>
        </w:tc>
        <w:tc>
          <w:tcPr>
            <w:tcW w:w="945" w:type="dxa"/>
            <w:noWrap/>
            <w:vAlign w:val="center"/>
          </w:tcPr>
          <w:p w14:paraId="58EC480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12868</w:t>
            </w:r>
          </w:p>
        </w:tc>
        <w:tc>
          <w:tcPr>
            <w:tcW w:w="1125" w:type="dxa"/>
            <w:noWrap/>
            <w:vAlign w:val="center"/>
          </w:tcPr>
          <w:p w14:paraId="5541B28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26.06%</w:t>
            </w:r>
          </w:p>
        </w:tc>
        <w:tc>
          <w:tcPr>
            <w:tcW w:w="3587" w:type="dxa"/>
            <w:noWrap/>
            <w:vAlign w:val="center"/>
          </w:tcPr>
          <w:p w14:paraId="7FD4165B">
            <w:pPr>
              <w:keepNext w:val="0"/>
              <w:keepLines w:val="0"/>
              <w:widowControl/>
              <w:suppressLineNumbers w:val="0"/>
              <w:jc w:val="center"/>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合</w:t>
            </w:r>
            <w:r>
              <w:rPr>
                <w:rStyle w:val="17"/>
                <w:rFonts w:eastAsia="宋体"/>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计</w:t>
            </w:r>
          </w:p>
        </w:tc>
        <w:tc>
          <w:tcPr>
            <w:tcW w:w="903" w:type="dxa"/>
            <w:noWrap/>
            <w:vAlign w:val="center"/>
          </w:tcPr>
          <w:p w14:paraId="5D99683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163287</w:t>
            </w:r>
          </w:p>
        </w:tc>
        <w:tc>
          <w:tcPr>
            <w:tcW w:w="940" w:type="dxa"/>
            <w:noWrap/>
            <w:vAlign w:val="center"/>
          </w:tcPr>
          <w:p w14:paraId="35CFE8D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31916</w:t>
            </w:r>
          </w:p>
        </w:tc>
        <w:tc>
          <w:tcPr>
            <w:tcW w:w="1122" w:type="dxa"/>
            <w:noWrap/>
            <w:vAlign w:val="center"/>
          </w:tcPr>
          <w:p w14:paraId="2106995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19.55%</w:t>
            </w:r>
          </w:p>
        </w:tc>
      </w:tr>
      <w:tr w14:paraId="59AF2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294F6A3D">
            <w:pPr>
              <w:keepNext w:val="0"/>
              <w:keepLines w:val="0"/>
              <w:widowControl/>
              <w:suppressLineNumbers w:val="0"/>
              <w:jc w:val="both"/>
              <w:textAlignment w:val="center"/>
              <w:rPr>
                <w:rFonts w:hint="eastAsia"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国有土地使用权出让收入</w:t>
            </w:r>
          </w:p>
        </w:tc>
        <w:tc>
          <w:tcPr>
            <w:tcW w:w="1110" w:type="dxa"/>
            <w:noWrap/>
            <w:vAlign w:val="center"/>
          </w:tcPr>
          <w:p w14:paraId="316E4A3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30012</w:t>
            </w:r>
          </w:p>
        </w:tc>
        <w:tc>
          <w:tcPr>
            <w:tcW w:w="945" w:type="dxa"/>
            <w:noWrap/>
            <w:vAlign w:val="center"/>
          </w:tcPr>
          <w:p w14:paraId="182A937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9081</w:t>
            </w:r>
          </w:p>
        </w:tc>
        <w:tc>
          <w:tcPr>
            <w:tcW w:w="1125" w:type="dxa"/>
            <w:noWrap/>
            <w:vAlign w:val="center"/>
          </w:tcPr>
          <w:p w14:paraId="43F3506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30.26%</w:t>
            </w:r>
          </w:p>
        </w:tc>
        <w:tc>
          <w:tcPr>
            <w:tcW w:w="3587" w:type="dxa"/>
            <w:noWrap/>
            <w:vAlign w:val="center"/>
          </w:tcPr>
          <w:p w14:paraId="53110B4C">
            <w:pPr>
              <w:keepNext w:val="0"/>
              <w:keepLines w:val="0"/>
              <w:widowControl/>
              <w:suppressLineNumbers w:val="0"/>
              <w:jc w:val="left"/>
              <w:textAlignment w:val="center"/>
              <w:rPr>
                <w:rFonts w:hint="eastAsia" w:ascii="Times New Roman" w:hAnsi="Times New Roman" w:eastAsia="宋体" w:cs="宋体"/>
                <w:color w:val="auto"/>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210.卫生健康支出</w:t>
            </w:r>
          </w:p>
        </w:tc>
        <w:tc>
          <w:tcPr>
            <w:tcW w:w="903" w:type="dxa"/>
            <w:noWrap/>
            <w:vAlign w:val="center"/>
          </w:tcPr>
          <w:p w14:paraId="676DE4F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622</w:t>
            </w:r>
          </w:p>
        </w:tc>
        <w:tc>
          <w:tcPr>
            <w:tcW w:w="940" w:type="dxa"/>
            <w:noWrap/>
            <w:vAlign w:val="center"/>
          </w:tcPr>
          <w:p w14:paraId="5C83BC9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122" w:type="dxa"/>
            <w:noWrap/>
            <w:vAlign w:val="center"/>
          </w:tcPr>
          <w:p w14:paraId="6EEA6F4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0E692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720293F4">
            <w:pPr>
              <w:keepNext w:val="0"/>
              <w:keepLines w:val="0"/>
              <w:widowControl/>
              <w:suppressLineNumbers w:val="0"/>
              <w:jc w:val="both"/>
              <w:textAlignment w:val="center"/>
              <w:rPr>
                <w:rFonts w:hint="eastAsia"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城市基础设施配套费收入</w:t>
            </w:r>
          </w:p>
        </w:tc>
        <w:tc>
          <w:tcPr>
            <w:tcW w:w="1110" w:type="dxa"/>
            <w:noWrap/>
            <w:vAlign w:val="center"/>
          </w:tcPr>
          <w:p w14:paraId="2AFE525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945" w:type="dxa"/>
            <w:noWrap/>
            <w:vAlign w:val="center"/>
          </w:tcPr>
          <w:p w14:paraId="14DFFB2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125" w:type="dxa"/>
            <w:noWrap/>
            <w:vAlign w:val="center"/>
          </w:tcPr>
          <w:p w14:paraId="5FF3517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w:t>
            </w:r>
          </w:p>
        </w:tc>
        <w:tc>
          <w:tcPr>
            <w:tcW w:w="3587" w:type="dxa"/>
            <w:noWrap/>
            <w:vAlign w:val="center"/>
          </w:tcPr>
          <w:p w14:paraId="6D0723DB">
            <w:pPr>
              <w:keepNext w:val="0"/>
              <w:keepLines w:val="0"/>
              <w:widowControl/>
              <w:suppressLineNumbers w:val="0"/>
              <w:jc w:val="left"/>
              <w:textAlignment w:val="center"/>
              <w:rPr>
                <w:rFonts w:hint="eastAsia"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211.节能环保支出</w:t>
            </w:r>
          </w:p>
        </w:tc>
        <w:tc>
          <w:tcPr>
            <w:tcW w:w="903" w:type="dxa"/>
            <w:noWrap/>
            <w:vAlign w:val="center"/>
          </w:tcPr>
          <w:p w14:paraId="451E966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5000</w:t>
            </w:r>
          </w:p>
        </w:tc>
        <w:tc>
          <w:tcPr>
            <w:tcW w:w="940" w:type="dxa"/>
            <w:noWrap/>
            <w:vAlign w:val="center"/>
          </w:tcPr>
          <w:p w14:paraId="426169E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2795</w:t>
            </w:r>
          </w:p>
        </w:tc>
        <w:tc>
          <w:tcPr>
            <w:tcW w:w="1122" w:type="dxa"/>
            <w:noWrap/>
            <w:vAlign w:val="center"/>
          </w:tcPr>
          <w:p w14:paraId="22A256B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55.90%</w:t>
            </w:r>
          </w:p>
        </w:tc>
      </w:tr>
      <w:tr w14:paraId="2A4AE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356D2FD3">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污水处理费收入</w:t>
            </w:r>
          </w:p>
        </w:tc>
        <w:tc>
          <w:tcPr>
            <w:tcW w:w="1110" w:type="dxa"/>
            <w:noWrap/>
            <w:vAlign w:val="center"/>
          </w:tcPr>
          <w:p w14:paraId="61ACDB6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840</w:t>
            </w:r>
          </w:p>
        </w:tc>
        <w:tc>
          <w:tcPr>
            <w:tcW w:w="945" w:type="dxa"/>
            <w:noWrap/>
            <w:vAlign w:val="center"/>
          </w:tcPr>
          <w:p w14:paraId="5804DB33">
            <w:pPr>
              <w:keepNext w:val="0"/>
              <w:keepLines w:val="0"/>
              <w:widowControl/>
              <w:suppressLineNumbers w:val="0"/>
              <w:jc w:val="center"/>
              <w:textAlignment w:val="center"/>
              <w:rPr>
                <w:rFonts w:hint="default"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1125" w:type="dxa"/>
            <w:noWrap/>
            <w:vAlign w:val="center"/>
          </w:tcPr>
          <w:p w14:paraId="47236DE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5.12%</w:t>
            </w:r>
          </w:p>
        </w:tc>
        <w:tc>
          <w:tcPr>
            <w:tcW w:w="3587" w:type="dxa"/>
            <w:noWrap/>
            <w:vAlign w:val="center"/>
          </w:tcPr>
          <w:p w14:paraId="7D8DE4E7">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212.城乡社区支出</w:t>
            </w:r>
          </w:p>
        </w:tc>
        <w:tc>
          <w:tcPr>
            <w:tcW w:w="903" w:type="dxa"/>
            <w:noWrap/>
            <w:vAlign w:val="center"/>
          </w:tcPr>
          <w:p w14:paraId="53B68F1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31840</w:t>
            </w:r>
          </w:p>
        </w:tc>
        <w:tc>
          <w:tcPr>
            <w:tcW w:w="940" w:type="dxa"/>
            <w:noWrap/>
            <w:vAlign w:val="center"/>
          </w:tcPr>
          <w:p w14:paraId="63BD655F">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5625</w:t>
            </w:r>
          </w:p>
        </w:tc>
        <w:tc>
          <w:tcPr>
            <w:tcW w:w="1122" w:type="dxa"/>
            <w:noWrap/>
            <w:vAlign w:val="center"/>
          </w:tcPr>
          <w:p w14:paraId="592DB34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17.67%</w:t>
            </w:r>
          </w:p>
        </w:tc>
      </w:tr>
      <w:tr w14:paraId="7484E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0DC493C0">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车辆通行费</w:t>
            </w:r>
          </w:p>
        </w:tc>
        <w:tc>
          <w:tcPr>
            <w:tcW w:w="1110" w:type="dxa"/>
            <w:noWrap/>
            <w:vAlign w:val="center"/>
          </w:tcPr>
          <w:p w14:paraId="71162D7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1600</w:t>
            </w:r>
          </w:p>
        </w:tc>
        <w:tc>
          <w:tcPr>
            <w:tcW w:w="945" w:type="dxa"/>
            <w:noWrap/>
            <w:vAlign w:val="center"/>
          </w:tcPr>
          <w:p w14:paraId="26534858">
            <w:pPr>
              <w:keepNext w:val="0"/>
              <w:keepLines w:val="0"/>
              <w:widowControl/>
              <w:suppressLineNumbers w:val="0"/>
              <w:jc w:val="center"/>
              <w:textAlignment w:val="center"/>
              <w:rPr>
                <w:rFonts w:hint="default"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700</w:t>
            </w:r>
          </w:p>
        </w:tc>
        <w:tc>
          <w:tcPr>
            <w:tcW w:w="1125" w:type="dxa"/>
            <w:noWrap/>
            <w:vAlign w:val="center"/>
          </w:tcPr>
          <w:p w14:paraId="622DBE5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43.75%</w:t>
            </w:r>
          </w:p>
        </w:tc>
        <w:tc>
          <w:tcPr>
            <w:tcW w:w="3587" w:type="dxa"/>
            <w:noWrap/>
            <w:vAlign w:val="center"/>
          </w:tcPr>
          <w:p w14:paraId="0FAED2B5">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213.农林水支出</w:t>
            </w:r>
          </w:p>
        </w:tc>
        <w:tc>
          <w:tcPr>
            <w:tcW w:w="903" w:type="dxa"/>
            <w:noWrap/>
            <w:vAlign w:val="center"/>
          </w:tcPr>
          <w:p w14:paraId="79F524A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108622</w:t>
            </w:r>
          </w:p>
        </w:tc>
        <w:tc>
          <w:tcPr>
            <w:tcW w:w="940" w:type="dxa"/>
            <w:noWrap/>
            <w:vAlign w:val="center"/>
          </w:tcPr>
          <w:p w14:paraId="13DC23D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8700</w:t>
            </w:r>
          </w:p>
        </w:tc>
        <w:tc>
          <w:tcPr>
            <w:tcW w:w="1122" w:type="dxa"/>
            <w:noWrap/>
            <w:vAlign w:val="center"/>
          </w:tcPr>
          <w:p w14:paraId="7ECD47D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8.01%</w:t>
            </w:r>
          </w:p>
        </w:tc>
      </w:tr>
      <w:tr w14:paraId="70084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4A8090DE">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专项债务对应项目专项收入</w:t>
            </w:r>
          </w:p>
        </w:tc>
        <w:tc>
          <w:tcPr>
            <w:tcW w:w="1110" w:type="dxa"/>
            <w:noWrap/>
            <w:vAlign w:val="center"/>
          </w:tcPr>
          <w:p w14:paraId="13EE604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16729</w:t>
            </w:r>
          </w:p>
        </w:tc>
        <w:tc>
          <w:tcPr>
            <w:tcW w:w="945" w:type="dxa"/>
            <w:noWrap/>
            <w:vAlign w:val="center"/>
          </w:tcPr>
          <w:p w14:paraId="0834A93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3004</w:t>
            </w:r>
          </w:p>
        </w:tc>
        <w:tc>
          <w:tcPr>
            <w:tcW w:w="1125" w:type="dxa"/>
            <w:noWrap/>
            <w:vAlign w:val="center"/>
          </w:tcPr>
          <w:p w14:paraId="2F6DF5F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17.96%</w:t>
            </w:r>
          </w:p>
        </w:tc>
        <w:tc>
          <w:tcPr>
            <w:tcW w:w="3587" w:type="dxa"/>
            <w:noWrap/>
            <w:vAlign w:val="center"/>
          </w:tcPr>
          <w:p w14:paraId="7B2F32D1">
            <w:pPr>
              <w:keepNext w:val="0"/>
              <w:keepLines w:val="0"/>
              <w:widowControl/>
              <w:suppressLineNumbers w:val="0"/>
              <w:jc w:val="left"/>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214.交通运输支出</w:t>
            </w:r>
          </w:p>
        </w:tc>
        <w:tc>
          <w:tcPr>
            <w:tcW w:w="903" w:type="dxa"/>
            <w:noWrap/>
            <w:vAlign w:val="center"/>
          </w:tcPr>
          <w:p w14:paraId="4E02063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1600</w:t>
            </w:r>
          </w:p>
        </w:tc>
        <w:tc>
          <w:tcPr>
            <w:tcW w:w="940" w:type="dxa"/>
            <w:noWrap/>
            <w:vAlign w:val="center"/>
          </w:tcPr>
          <w:p w14:paraId="2E0B32B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146</w:t>
            </w:r>
          </w:p>
        </w:tc>
        <w:tc>
          <w:tcPr>
            <w:tcW w:w="1122" w:type="dxa"/>
            <w:noWrap/>
            <w:vAlign w:val="center"/>
          </w:tcPr>
          <w:p w14:paraId="5054584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9.13%</w:t>
            </w:r>
          </w:p>
        </w:tc>
      </w:tr>
      <w:tr w14:paraId="5B54E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68B82997">
            <w:pPr>
              <w:jc w:val="both"/>
              <w:rPr>
                <w:rFonts w:ascii="Times New Roman" w:hAnsi="Times New Roman" w:cs="宋体"/>
                <w:color w:val="auto"/>
                <w:kern w:val="0"/>
                <w:sz w:val="18"/>
                <w:szCs w:val="18"/>
              </w:rPr>
            </w:pPr>
          </w:p>
        </w:tc>
        <w:tc>
          <w:tcPr>
            <w:tcW w:w="1110" w:type="dxa"/>
            <w:noWrap/>
            <w:vAlign w:val="center"/>
          </w:tcPr>
          <w:p w14:paraId="6122E209">
            <w:pPr>
              <w:jc w:val="center"/>
              <w:rPr>
                <w:rFonts w:hint="eastAsia" w:ascii="Times New Roman" w:hAnsi="Times New Roman" w:eastAsia="宋体" w:cs="宋体"/>
                <w:i w:val="0"/>
                <w:iCs w:val="0"/>
                <w:color w:val="auto"/>
                <w:kern w:val="0"/>
                <w:sz w:val="18"/>
                <w:szCs w:val="18"/>
                <w:u w:val="none"/>
                <w:lang w:val="en-US" w:eastAsia="zh-CN" w:bidi="ar"/>
              </w:rPr>
            </w:pPr>
          </w:p>
        </w:tc>
        <w:tc>
          <w:tcPr>
            <w:tcW w:w="945" w:type="dxa"/>
            <w:noWrap/>
            <w:vAlign w:val="center"/>
          </w:tcPr>
          <w:p w14:paraId="61EF9088">
            <w:pPr>
              <w:jc w:val="center"/>
              <w:rPr>
                <w:rFonts w:hint="eastAsia" w:ascii="Times New Roman" w:hAnsi="Times New Roman" w:eastAsia="宋体" w:cs="宋体"/>
                <w:i w:val="0"/>
                <w:iCs w:val="0"/>
                <w:color w:val="auto"/>
                <w:kern w:val="0"/>
                <w:sz w:val="18"/>
                <w:szCs w:val="18"/>
                <w:u w:val="none"/>
                <w:lang w:val="en-US" w:eastAsia="zh-CN" w:bidi="ar"/>
              </w:rPr>
            </w:pPr>
          </w:p>
        </w:tc>
        <w:tc>
          <w:tcPr>
            <w:tcW w:w="1125" w:type="dxa"/>
            <w:noWrap/>
            <w:vAlign w:val="center"/>
          </w:tcPr>
          <w:p w14:paraId="11527885">
            <w:pPr>
              <w:jc w:val="center"/>
              <w:rPr>
                <w:rFonts w:hint="eastAsia" w:ascii="Times New Roman" w:hAnsi="Times New Roman" w:eastAsia="宋体" w:cs="宋体"/>
                <w:i w:val="0"/>
                <w:iCs w:val="0"/>
                <w:color w:val="auto"/>
                <w:kern w:val="0"/>
                <w:sz w:val="18"/>
                <w:szCs w:val="18"/>
                <w:u w:val="none"/>
                <w:lang w:val="en-US" w:eastAsia="zh-CN" w:bidi="ar"/>
              </w:rPr>
            </w:pPr>
          </w:p>
        </w:tc>
        <w:tc>
          <w:tcPr>
            <w:tcW w:w="3587" w:type="dxa"/>
            <w:noWrap/>
            <w:vAlign w:val="center"/>
          </w:tcPr>
          <w:p w14:paraId="59D09AC5">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215.资源勘探工业信息等支出</w:t>
            </w:r>
          </w:p>
        </w:tc>
        <w:tc>
          <w:tcPr>
            <w:tcW w:w="903" w:type="dxa"/>
            <w:noWrap/>
            <w:vAlign w:val="center"/>
          </w:tcPr>
          <w:p w14:paraId="75BC439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575</w:t>
            </w:r>
          </w:p>
        </w:tc>
        <w:tc>
          <w:tcPr>
            <w:tcW w:w="940" w:type="dxa"/>
            <w:noWrap/>
            <w:vAlign w:val="center"/>
          </w:tcPr>
          <w:p w14:paraId="6E9C63E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586</w:t>
            </w:r>
          </w:p>
        </w:tc>
        <w:tc>
          <w:tcPr>
            <w:tcW w:w="1122" w:type="dxa"/>
            <w:noWrap/>
            <w:vAlign w:val="center"/>
          </w:tcPr>
          <w:p w14:paraId="3564CFDC">
            <w:pPr>
              <w:keepNext w:val="0"/>
              <w:keepLines w:val="0"/>
              <w:widowControl/>
              <w:suppressLineNumbers w:val="0"/>
              <w:jc w:val="center"/>
              <w:textAlignment w:val="center"/>
              <w:rPr>
                <w:rFonts w:hint="default"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101.91%</w:t>
            </w:r>
          </w:p>
        </w:tc>
      </w:tr>
      <w:tr w14:paraId="1A714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178FE9F3">
            <w:pPr>
              <w:jc w:val="both"/>
              <w:rPr>
                <w:rFonts w:ascii="Times New Roman" w:hAnsi="Times New Roman" w:cs="宋体"/>
                <w:color w:val="auto"/>
                <w:kern w:val="0"/>
                <w:sz w:val="18"/>
                <w:szCs w:val="18"/>
              </w:rPr>
            </w:pPr>
          </w:p>
        </w:tc>
        <w:tc>
          <w:tcPr>
            <w:tcW w:w="1110" w:type="dxa"/>
            <w:noWrap/>
            <w:vAlign w:val="center"/>
          </w:tcPr>
          <w:p w14:paraId="668DF5BA">
            <w:pPr>
              <w:jc w:val="center"/>
              <w:rPr>
                <w:rFonts w:ascii="Times New Roman" w:hAnsi="Times New Roman" w:cs="宋体"/>
                <w:color w:val="auto"/>
                <w:kern w:val="0"/>
                <w:sz w:val="18"/>
                <w:szCs w:val="18"/>
              </w:rPr>
            </w:pPr>
          </w:p>
        </w:tc>
        <w:tc>
          <w:tcPr>
            <w:tcW w:w="945" w:type="dxa"/>
            <w:noWrap/>
            <w:vAlign w:val="center"/>
          </w:tcPr>
          <w:p w14:paraId="3DEAB37C">
            <w:pPr>
              <w:jc w:val="center"/>
              <w:rPr>
                <w:rFonts w:ascii="Times New Roman" w:hAnsi="Times New Roman" w:cs="宋体"/>
                <w:color w:val="auto"/>
                <w:kern w:val="0"/>
                <w:sz w:val="18"/>
                <w:szCs w:val="18"/>
              </w:rPr>
            </w:pPr>
          </w:p>
        </w:tc>
        <w:tc>
          <w:tcPr>
            <w:tcW w:w="1125" w:type="dxa"/>
            <w:noWrap/>
            <w:vAlign w:val="center"/>
          </w:tcPr>
          <w:p w14:paraId="46FAE241">
            <w:pPr>
              <w:jc w:val="center"/>
              <w:rPr>
                <w:rFonts w:ascii="Times New Roman" w:hAnsi="Times New Roman" w:cs="宋体"/>
                <w:color w:val="auto"/>
                <w:kern w:val="0"/>
                <w:sz w:val="18"/>
                <w:szCs w:val="18"/>
              </w:rPr>
            </w:pPr>
          </w:p>
        </w:tc>
        <w:tc>
          <w:tcPr>
            <w:tcW w:w="3587" w:type="dxa"/>
            <w:noWrap/>
            <w:vAlign w:val="center"/>
          </w:tcPr>
          <w:p w14:paraId="0FDC49F4">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229.</w:t>
            </w:r>
            <w:r>
              <w:rPr>
                <w:rFonts w:hint="eastAsia" w:ascii="宋体" w:hAnsi="宋体" w:cs="宋体"/>
                <w:i w:val="0"/>
                <w:iCs w:val="0"/>
                <w:color w:val="000000"/>
                <w:kern w:val="0"/>
                <w:sz w:val="18"/>
                <w:szCs w:val="18"/>
                <w:u w:val="none"/>
                <w:lang w:val="en-US" w:eastAsia="zh-CN" w:bidi="ar"/>
              </w:rPr>
              <w:t>其他支出</w:t>
            </w:r>
          </w:p>
        </w:tc>
        <w:tc>
          <w:tcPr>
            <w:tcW w:w="903" w:type="dxa"/>
            <w:noWrap/>
            <w:vAlign w:val="center"/>
          </w:tcPr>
          <w:p w14:paraId="4C45813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4651</w:t>
            </w:r>
          </w:p>
        </w:tc>
        <w:tc>
          <w:tcPr>
            <w:tcW w:w="940" w:type="dxa"/>
            <w:noWrap/>
            <w:vAlign w:val="center"/>
          </w:tcPr>
          <w:p w14:paraId="798CEAA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9173</w:t>
            </w:r>
          </w:p>
        </w:tc>
        <w:tc>
          <w:tcPr>
            <w:tcW w:w="1122" w:type="dxa"/>
            <w:noWrap/>
            <w:vAlign w:val="center"/>
          </w:tcPr>
          <w:p w14:paraId="29C8B02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197.23%</w:t>
            </w:r>
          </w:p>
        </w:tc>
      </w:tr>
      <w:tr w14:paraId="5C414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17BE0FC2">
            <w:pPr>
              <w:jc w:val="both"/>
              <w:rPr>
                <w:rFonts w:ascii="Times New Roman" w:hAnsi="Times New Roman" w:eastAsia="等线" w:cs="宋体"/>
                <w:color w:val="auto"/>
                <w:kern w:val="0"/>
                <w:sz w:val="18"/>
                <w:szCs w:val="18"/>
              </w:rPr>
            </w:pPr>
          </w:p>
        </w:tc>
        <w:tc>
          <w:tcPr>
            <w:tcW w:w="1110" w:type="dxa"/>
            <w:noWrap/>
            <w:vAlign w:val="center"/>
          </w:tcPr>
          <w:p w14:paraId="72EE7908">
            <w:pPr>
              <w:jc w:val="center"/>
              <w:rPr>
                <w:rFonts w:ascii="Times New Roman" w:hAnsi="Times New Roman" w:eastAsia="等线" w:cs="宋体"/>
                <w:color w:val="auto"/>
                <w:kern w:val="0"/>
                <w:sz w:val="18"/>
                <w:szCs w:val="18"/>
              </w:rPr>
            </w:pPr>
          </w:p>
        </w:tc>
        <w:tc>
          <w:tcPr>
            <w:tcW w:w="945" w:type="dxa"/>
            <w:noWrap/>
            <w:vAlign w:val="center"/>
          </w:tcPr>
          <w:p w14:paraId="7125E0BE">
            <w:pPr>
              <w:jc w:val="center"/>
              <w:rPr>
                <w:rFonts w:ascii="Times New Roman" w:hAnsi="Times New Roman" w:eastAsia="等线" w:cs="宋体"/>
                <w:color w:val="auto"/>
                <w:kern w:val="0"/>
                <w:sz w:val="18"/>
                <w:szCs w:val="18"/>
              </w:rPr>
            </w:pPr>
          </w:p>
        </w:tc>
        <w:tc>
          <w:tcPr>
            <w:tcW w:w="1125" w:type="dxa"/>
            <w:noWrap/>
            <w:vAlign w:val="center"/>
          </w:tcPr>
          <w:p w14:paraId="57F15845">
            <w:pPr>
              <w:jc w:val="center"/>
              <w:rPr>
                <w:rFonts w:ascii="Times New Roman" w:hAnsi="Times New Roman" w:eastAsia="等线" w:cs="宋体"/>
                <w:color w:val="auto"/>
                <w:kern w:val="0"/>
                <w:sz w:val="18"/>
                <w:szCs w:val="18"/>
              </w:rPr>
            </w:pPr>
          </w:p>
        </w:tc>
        <w:tc>
          <w:tcPr>
            <w:tcW w:w="3587" w:type="dxa"/>
            <w:noWrap/>
            <w:vAlign w:val="center"/>
          </w:tcPr>
          <w:p w14:paraId="7138C2FC">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232.债务付息支出</w:t>
            </w:r>
          </w:p>
        </w:tc>
        <w:tc>
          <w:tcPr>
            <w:tcW w:w="903" w:type="dxa"/>
            <w:noWrap/>
            <w:vAlign w:val="center"/>
          </w:tcPr>
          <w:p w14:paraId="067EB0F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10377</w:t>
            </w:r>
          </w:p>
        </w:tc>
        <w:tc>
          <w:tcPr>
            <w:tcW w:w="940" w:type="dxa"/>
            <w:noWrap/>
            <w:vAlign w:val="center"/>
          </w:tcPr>
          <w:p w14:paraId="5BD4338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4863</w:t>
            </w:r>
          </w:p>
        </w:tc>
        <w:tc>
          <w:tcPr>
            <w:tcW w:w="1122" w:type="dxa"/>
            <w:noWrap/>
            <w:vAlign w:val="center"/>
          </w:tcPr>
          <w:p w14:paraId="77BA468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46.86%</w:t>
            </w:r>
          </w:p>
        </w:tc>
      </w:tr>
      <w:tr w14:paraId="74BD6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3F5E9F1B">
            <w:pPr>
              <w:jc w:val="both"/>
              <w:rPr>
                <w:rFonts w:ascii="Times New Roman" w:hAnsi="Times New Roman" w:eastAsia="等线" w:cs="宋体"/>
                <w:color w:val="auto"/>
                <w:kern w:val="0"/>
                <w:sz w:val="18"/>
                <w:szCs w:val="18"/>
              </w:rPr>
            </w:pPr>
          </w:p>
        </w:tc>
        <w:tc>
          <w:tcPr>
            <w:tcW w:w="1110" w:type="dxa"/>
            <w:noWrap/>
            <w:vAlign w:val="center"/>
          </w:tcPr>
          <w:p w14:paraId="34655FA1">
            <w:pPr>
              <w:jc w:val="center"/>
              <w:rPr>
                <w:rFonts w:ascii="Times New Roman" w:hAnsi="Times New Roman" w:eastAsia="等线" w:cs="宋体"/>
                <w:color w:val="auto"/>
                <w:kern w:val="0"/>
                <w:sz w:val="18"/>
                <w:szCs w:val="18"/>
              </w:rPr>
            </w:pPr>
          </w:p>
        </w:tc>
        <w:tc>
          <w:tcPr>
            <w:tcW w:w="945" w:type="dxa"/>
            <w:noWrap/>
            <w:vAlign w:val="center"/>
          </w:tcPr>
          <w:p w14:paraId="64E992C8">
            <w:pPr>
              <w:jc w:val="center"/>
              <w:rPr>
                <w:rFonts w:ascii="Times New Roman" w:hAnsi="Times New Roman" w:eastAsia="等线" w:cs="宋体"/>
                <w:color w:val="auto"/>
                <w:kern w:val="0"/>
                <w:sz w:val="18"/>
                <w:szCs w:val="18"/>
              </w:rPr>
            </w:pPr>
          </w:p>
        </w:tc>
        <w:tc>
          <w:tcPr>
            <w:tcW w:w="1125" w:type="dxa"/>
            <w:noWrap/>
            <w:vAlign w:val="center"/>
          </w:tcPr>
          <w:p w14:paraId="20105620">
            <w:pPr>
              <w:jc w:val="center"/>
              <w:rPr>
                <w:rFonts w:ascii="Times New Roman" w:hAnsi="Times New Roman" w:eastAsia="等线" w:cs="宋体"/>
                <w:color w:val="auto"/>
                <w:kern w:val="0"/>
                <w:sz w:val="18"/>
                <w:szCs w:val="18"/>
              </w:rPr>
            </w:pPr>
          </w:p>
        </w:tc>
        <w:tc>
          <w:tcPr>
            <w:tcW w:w="3587" w:type="dxa"/>
            <w:noWrap/>
            <w:vAlign w:val="center"/>
          </w:tcPr>
          <w:p w14:paraId="03D72ED5">
            <w:pPr>
              <w:keepNext w:val="0"/>
              <w:keepLines w:val="0"/>
              <w:widowControl/>
              <w:suppressLineNumbers w:val="0"/>
              <w:jc w:val="both"/>
              <w:textAlignment w:val="center"/>
              <w:rPr>
                <w:rFonts w:ascii="Times New Roman" w:hAnsi="Times New Roman" w:cs="宋体"/>
                <w:color w:val="auto"/>
                <w:kern w:val="0"/>
                <w:sz w:val="18"/>
                <w:szCs w:val="18"/>
              </w:rPr>
            </w:pPr>
            <w:r>
              <w:rPr>
                <w:rFonts w:hint="eastAsia" w:ascii="宋体" w:hAnsi="宋体" w:eastAsia="宋体" w:cs="宋体"/>
                <w:i w:val="0"/>
                <w:iCs w:val="0"/>
                <w:color w:val="000000"/>
                <w:kern w:val="0"/>
                <w:sz w:val="18"/>
                <w:szCs w:val="18"/>
                <w:u w:val="none"/>
                <w:lang w:val="en-US" w:eastAsia="zh-CN" w:bidi="ar"/>
              </w:rPr>
              <w:t>233.债务发行费用支出</w:t>
            </w:r>
          </w:p>
        </w:tc>
        <w:tc>
          <w:tcPr>
            <w:tcW w:w="903" w:type="dxa"/>
            <w:noWrap/>
            <w:vAlign w:val="center"/>
          </w:tcPr>
          <w:p w14:paraId="3BCF8F7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940" w:type="dxa"/>
            <w:noWrap/>
            <w:vAlign w:val="center"/>
          </w:tcPr>
          <w:p w14:paraId="21D3479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1122" w:type="dxa"/>
            <w:noWrap/>
            <w:vAlign w:val="center"/>
          </w:tcPr>
          <w:p w14:paraId="15F997E3">
            <w:pPr>
              <w:jc w:val="center"/>
              <w:rPr>
                <w:rFonts w:hint="eastAsia" w:ascii="Times New Roman" w:hAnsi="Times New Roman" w:eastAsia="宋体" w:cs="宋体"/>
                <w:i w:val="0"/>
                <w:iCs w:val="0"/>
                <w:color w:val="auto"/>
                <w:kern w:val="0"/>
                <w:sz w:val="18"/>
                <w:szCs w:val="18"/>
                <w:u w:val="none"/>
                <w:lang w:val="en-US" w:eastAsia="zh-CN" w:bidi="ar"/>
              </w:rPr>
            </w:pPr>
          </w:p>
        </w:tc>
      </w:tr>
      <w:tr w14:paraId="5DB68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1D15BBAD">
            <w:pPr>
              <w:jc w:val="both"/>
              <w:rPr>
                <w:rFonts w:ascii="Times New Roman" w:hAnsi="Times New Roman" w:eastAsia="等线" w:cs="宋体"/>
                <w:color w:val="auto"/>
                <w:kern w:val="0"/>
                <w:sz w:val="18"/>
                <w:szCs w:val="18"/>
              </w:rPr>
            </w:pPr>
          </w:p>
        </w:tc>
        <w:tc>
          <w:tcPr>
            <w:tcW w:w="1110" w:type="dxa"/>
            <w:noWrap/>
            <w:vAlign w:val="center"/>
          </w:tcPr>
          <w:p w14:paraId="2D8D1393">
            <w:pPr>
              <w:jc w:val="center"/>
              <w:rPr>
                <w:rFonts w:ascii="Times New Roman" w:hAnsi="Times New Roman" w:eastAsia="等线" w:cs="宋体"/>
                <w:color w:val="auto"/>
                <w:kern w:val="0"/>
                <w:sz w:val="18"/>
                <w:szCs w:val="18"/>
              </w:rPr>
            </w:pPr>
          </w:p>
        </w:tc>
        <w:tc>
          <w:tcPr>
            <w:tcW w:w="945" w:type="dxa"/>
            <w:noWrap/>
            <w:vAlign w:val="center"/>
          </w:tcPr>
          <w:p w14:paraId="7C2CBB9E">
            <w:pPr>
              <w:jc w:val="center"/>
              <w:rPr>
                <w:rFonts w:ascii="Times New Roman" w:hAnsi="Times New Roman" w:eastAsia="等线" w:cs="宋体"/>
                <w:color w:val="auto"/>
                <w:kern w:val="0"/>
                <w:sz w:val="18"/>
                <w:szCs w:val="18"/>
              </w:rPr>
            </w:pPr>
          </w:p>
        </w:tc>
        <w:tc>
          <w:tcPr>
            <w:tcW w:w="1125" w:type="dxa"/>
            <w:noWrap/>
            <w:vAlign w:val="center"/>
          </w:tcPr>
          <w:p w14:paraId="3F842241">
            <w:pPr>
              <w:jc w:val="center"/>
              <w:rPr>
                <w:rFonts w:ascii="Times New Roman" w:hAnsi="Times New Roman" w:eastAsia="等线" w:cs="宋体"/>
                <w:color w:val="auto"/>
                <w:kern w:val="0"/>
                <w:sz w:val="18"/>
                <w:szCs w:val="18"/>
              </w:rPr>
            </w:pPr>
          </w:p>
        </w:tc>
        <w:tc>
          <w:tcPr>
            <w:tcW w:w="3587" w:type="dxa"/>
            <w:noWrap/>
            <w:vAlign w:val="center"/>
          </w:tcPr>
          <w:p w14:paraId="10DE02BA">
            <w:pPr>
              <w:keepNext w:val="0"/>
              <w:keepLines w:val="0"/>
              <w:widowControl/>
              <w:suppressLineNumbers w:val="0"/>
              <w:jc w:val="both"/>
              <w:textAlignment w:val="center"/>
              <w:rPr>
                <w:rFonts w:hint="eastAsia" w:ascii="宋体" w:hAnsi="宋体" w:eastAsia="宋体" w:cs="宋体"/>
                <w:i w:val="0"/>
                <w:iCs w:val="0"/>
                <w:color w:val="000000"/>
                <w:kern w:val="0"/>
                <w:sz w:val="18"/>
                <w:szCs w:val="18"/>
                <w:u w:val="none"/>
                <w:lang w:val="en-US" w:eastAsia="zh-CN" w:bidi="ar"/>
              </w:rPr>
            </w:pPr>
          </w:p>
        </w:tc>
        <w:tc>
          <w:tcPr>
            <w:tcW w:w="903" w:type="dxa"/>
            <w:noWrap/>
            <w:vAlign w:val="center"/>
          </w:tcPr>
          <w:p w14:paraId="04EE42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940" w:type="dxa"/>
            <w:noWrap/>
            <w:vAlign w:val="center"/>
          </w:tcPr>
          <w:p w14:paraId="145CC4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122" w:type="dxa"/>
            <w:noWrap/>
            <w:vAlign w:val="center"/>
          </w:tcPr>
          <w:p w14:paraId="5E600600">
            <w:pPr>
              <w:jc w:val="center"/>
              <w:rPr>
                <w:rFonts w:hint="eastAsia" w:ascii="Times New Roman" w:hAnsi="Times New Roman" w:eastAsia="宋体" w:cs="宋体"/>
                <w:i w:val="0"/>
                <w:iCs w:val="0"/>
                <w:color w:val="auto"/>
                <w:kern w:val="0"/>
                <w:sz w:val="18"/>
                <w:szCs w:val="18"/>
                <w:u w:val="none"/>
                <w:lang w:val="en-US" w:eastAsia="zh-CN" w:bidi="ar"/>
              </w:rPr>
            </w:pPr>
          </w:p>
        </w:tc>
      </w:tr>
      <w:tr w14:paraId="2055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0D89217D">
            <w:pPr>
              <w:jc w:val="both"/>
              <w:rPr>
                <w:rFonts w:ascii="Times New Roman" w:hAnsi="Times New Roman" w:eastAsia="等线" w:cs="宋体"/>
                <w:color w:val="auto"/>
                <w:kern w:val="0"/>
                <w:sz w:val="18"/>
                <w:szCs w:val="18"/>
              </w:rPr>
            </w:pPr>
          </w:p>
        </w:tc>
        <w:tc>
          <w:tcPr>
            <w:tcW w:w="1110" w:type="dxa"/>
            <w:noWrap/>
            <w:vAlign w:val="center"/>
          </w:tcPr>
          <w:p w14:paraId="490825A3">
            <w:pPr>
              <w:jc w:val="center"/>
              <w:rPr>
                <w:rFonts w:ascii="Times New Roman" w:hAnsi="Times New Roman" w:eastAsia="等线" w:cs="宋体"/>
                <w:color w:val="auto"/>
                <w:kern w:val="0"/>
                <w:sz w:val="18"/>
                <w:szCs w:val="18"/>
              </w:rPr>
            </w:pPr>
          </w:p>
        </w:tc>
        <w:tc>
          <w:tcPr>
            <w:tcW w:w="945" w:type="dxa"/>
            <w:noWrap/>
            <w:vAlign w:val="center"/>
          </w:tcPr>
          <w:p w14:paraId="4EBB5B17">
            <w:pPr>
              <w:jc w:val="center"/>
              <w:rPr>
                <w:rFonts w:ascii="Times New Roman" w:hAnsi="Times New Roman" w:eastAsia="等线" w:cs="宋体"/>
                <w:color w:val="auto"/>
                <w:kern w:val="0"/>
                <w:sz w:val="18"/>
                <w:szCs w:val="18"/>
              </w:rPr>
            </w:pPr>
          </w:p>
        </w:tc>
        <w:tc>
          <w:tcPr>
            <w:tcW w:w="1125" w:type="dxa"/>
            <w:noWrap/>
            <w:vAlign w:val="center"/>
          </w:tcPr>
          <w:p w14:paraId="490C4300">
            <w:pPr>
              <w:jc w:val="center"/>
              <w:rPr>
                <w:rFonts w:ascii="Times New Roman" w:hAnsi="Times New Roman" w:eastAsia="等线" w:cs="宋体"/>
                <w:color w:val="auto"/>
                <w:kern w:val="0"/>
                <w:sz w:val="18"/>
                <w:szCs w:val="18"/>
              </w:rPr>
            </w:pPr>
          </w:p>
        </w:tc>
        <w:tc>
          <w:tcPr>
            <w:tcW w:w="3587" w:type="dxa"/>
            <w:noWrap/>
            <w:vAlign w:val="center"/>
          </w:tcPr>
          <w:p w14:paraId="45CDB44F">
            <w:pPr>
              <w:keepNext w:val="0"/>
              <w:keepLines w:val="0"/>
              <w:widowControl/>
              <w:suppressLineNumbers w:val="0"/>
              <w:jc w:val="both"/>
              <w:textAlignment w:val="center"/>
              <w:rPr>
                <w:rFonts w:hint="eastAsia" w:ascii="宋体" w:hAnsi="宋体" w:eastAsia="宋体" w:cs="宋体"/>
                <w:i w:val="0"/>
                <w:iCs w:val="0"/>
                <w:color w:val="000000"/>
                <w:kern w:val="0"/>
                <w:sz w:val="18"/>
                <w:szCs w:val="18"/>
                <w:u w:val="none"/>
                <w:lang w:val="en-US" w:eastAsia="zh-CN" w:bidi="ar"/>
              </w:rPr>
            </w:pPr>
          </w:p>
        </w:tc>
        <w:tc>
          <w:tcPr>
            <w:tcW w:w="903" w:type="dxa"/>
            <w:noWrap/>
            <w:vAlign w:val="center"/>
          </w:tcPr>
          <w:p w14:paraId="32CA47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940" w:type="dxa"/>
            <w:noWrap/>
            <w:vAlign w:val="center"/>
          </w:tcPr>
          <w:p w14:paraId="228AD6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122" w:type="dxa"/>
            <w:noWrap/>
            <w:vAlign w:val="center"/>
          </w:tcPr>
          <w:p w14:paraId="3E418C82">
            <w:pPr>
              <w:jc w:val="center"/>
              <w:rPr>
                <w:rFonts w:hint="eastAsia" w:ascii="Times New Roman" w:hAnsi="Times New Roman" w:eastAsia="宋体" w:cs="宋体"/>
                <w:i w:val="0"/>
                <w:iCs w:val="0"/>
                <w:color w:val="auto"/>
                <w:kern w:val="0"/>
                <w:sz w:val="18"/>
                <w:szCs w:val="18"/>
                <w:u w:val="none"/>
                <w:lang w:val="en-US" w:eastAsia="zh-CN" w:bidi="ar"/>
              </w:rPr>
            </w:pPr>
          </w:p>
        </w:tc>
      </w:tr>
      <w:tr w14:paraId="72406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609" w:type="dxa"/>
            <w:noWrap/>
            <w:vAlign w:val="center"/>
          </w:tcPr>
          <w:p w14:paraId="06323B1C">
            <w:pPr>
              <w:jc w:val="both"/>
              <w:rPr>
                <w:rFonts w:ascii="Times New Roman" w:hAnsi="Times New Roman" w:eastAsia="等线" w:cs="宋体"/>
                <w:color w:val="auto"/>
                <w:kern w:val="0"/>
                <w:sz w:val="18"/>
                <w:szCs w:val="18"/>
              </w:rPr>
            </w:pPr>
          </w:p>
        </w:tc>
        <w:tc>
          <w:tcPr>
            <w:tcW w:w="1110" w:type="dxa"/>
            <w:noWrap/>
            <w:vAlign w:val="center"/>
          </w:tcPr>
          <w:p w14:paraId="2F9D6DFA">
            <w:pPr>
              <w:jc w:val="center"/>
              <w:rPr>
                <w:rFonts w:ascii="Times New Roman" w:hAnsi="Times New Roman" w:eastAsia="等线" w:cs="宋体"/>
                <w:color w:val="auto"/>
                <w:kern w:val="0"/>
                <w:sz w:val="18"/>
                <w:szCs w:val="18"/>
              </w:rPr>
            </w:pPr>
          </w:p>
        </w:tc>
        <w:tc>
          <w:tcPr>
            <w:tcW w:w="945" w:type="dxa"/>
            <w:noWrap/>
            <w:vAlign w:val="center"/>
          </w:tcPr>
          <w:p w14:paraId="4BC0B310">
            <w:pPr>
              <w:jc w:val="center"/>
              <w:rPr>
                <w:rFonts w:ascii="Times New Roman" w:hAnsi="Times New Roman" w:eastAsia="等线" w:cs="宋体"/>
                <w:color w:val="auto"/>
                <w:kern w:val="0"/>
                <w:sz w:val="18"/>
                <w:szCs w:val="18"/>
              </w:rPr>
            </w:pPr>
          </w:p>
        </w:tc>
        <w:tc>
          <w:tcPr>
            <w:tcW w:w="1125" w:type="dxa"/>
            <w:noWrap/>
            <w:vAlign w:val="center"/>
          </w:tcPr>
          <w:p w14:paraId="6AAA62CB">
            <w:pPr>
              <w:jc w:val="center"/>
              <w:rPr>
                <w:rFonts w:ascii="Times New Roman" w:hAnsi="Times New Roman" w:eastAsia="等线" w:cs="宋体"/>
                <w:color w:val="auto"/>
                <w:kern w:val="0"/>
                <w:sz w:val="18"/>
                <w:szCs w:val="18"/>
              </w:rPr>
            </w:pPr>
          </w:p>
        </w:tc>
        <w:tc>
          <w:tcPr>
            <w:tcW w:w="3587" w:type="dxa"/>
            <w:noWrap/>
            <w:vAlign w:val="center"/>
          </w:tcPr>
          <w:p w14:paraId="2F2AC8A7">
            <w:pPr>
              <w:keepNext w:val="0"/>
              <w:keepLines w:val="0"/>
              <w:widowControl/>
              <w:suppressLineNumbers w:val="0"/>
              <w:jc w:val="both"/>
              <w:textAlignment w:val="center"/>
              <w:rPr>
                <w:rFonts w:hint="eastAsia" w:ascii="宋体" w:hAnsi="宋体" w:eastAsia="宋体" w:cs="宋体"/>
                <w:i w:val="0"/>
                <w:iCs w:val="0"/>
                <w:color w:val="000000"/>
                <w:kern w:val="0"/>
                <w:sz w:val="18"/>
                <w:szCs w:val="18"/>
                <w:u w:val="none"/>
                <w:lang w:val="en-US" w:eastAsia="zh-CN" w:bidi="ar"/>
              </w:rPr>
            </w:pPr>
          </w:p>
        </w:tc>
        <w:tc>
          <w:tcPr>
            <w:tcW w:w="903" w:type="dxa"/>
            <w:noWrap/>
            <w:vAlign w:val="center"/>
          </w:tcPr>
          <w:p w14:paraId="2F613F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940" w:type="dxa"/>
            <w:noWrap/>
            <w:vAlign w:val="center"/>
          </w:tcPr>
          <w:p w14:paraId="7EDD85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122" w:type="dxa"/>
            <w:noWrap/>
            <w:vAlign w:val="center"/>
          </w:tcPr>
          <w:p w14:paraId="3FDD967C">
            <w:pPr>
              <w:jc w:val="center"/>
              <w:rPr>
                <w:rFonts w:hint="eastAsia" w:ascii="Times New Roman" w:hAnsi="Times New Roman" w:eastAsia="宋体" w:cs="宋体"/>
                <w:i w:val="0"/>
                <w:iCs w:val="0"/>
                <w:color w:val="auto"/>
                <w:kern w:val="0"/>
                <w:sz w:val="18"/>
                <w:szCs w:val="18"/>
                <w:u w:val="none"/>
                <w:lang w:val="en-US" w:eastAsia="zh-CN" w:bidi="ar"/>
              </w:rPr>
            </w:pPr>
          </w:p>
        </w:tc>
      </w:tr>
    </w:tbl>
    <w:p w14:paraId="0C4130A2">
      <w:pPr>
        <w:rPr>
          <w:rFonts w:hint="eastAsia"/>
          <w:lang w:val="en-US" w:eastAsia="zh-CN"/>
        </w:rPr>
        <w:sectPr>
          <w:pgSz w:w="16838" w:h="11906" w:orient="landscape"/>
          <w:pgMar w:top="850" w:right="2098" w:bottom="1020" w:left="1984" w:header="851" w:footer="992" w:gutter="0"/>
          <w:pgNumType w:fmt="numberInDash"/>
          <w:cols w:space="425" w:num="1"/>
          <w:docGrid w:type="lines" w:linePitch="312" w:charSpace="0"/>
        </w:sectPr>
      </w:pPr>
    </w:p>
    <w:p w14:paraId="1A9ED7F4">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3-03</w:t>
      </w:r>
    </w:p>
    <w:p w14:paraId="55F76DFE">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秭归县202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年上半年社会</w:t>
      </w:r>
      <w:r>
        <w:rPr>
          <w:rFonts w:hint="eastAsia" w:ascii="方正小标宋简体" w:hAnsi="方正小标宋简体" w:eastAsia="方正小标宋简体" w:cs="方正小标宋简体"/>
          <w:sz w:val="44"/>
          <w:szCs w:val="44"/>
          <w:lang w:eastAsia="zh-CN"/>
        </w:rPr>
        <w:t>保险</w:t>
      </w:r>
      <w:r>
        <w:rPr>
          <w:rFonts w:hint="eastAsia" w:ascii="方正小标宋简体" w:hAnsi="方正小标宋简体" w:eastAsia="方正小标宋简体" w:cs="方正小标宋简体"/>
          <w:sz w:val="44"/>
          <w:szCs w:val="44"/>
        </w:rPr>
        <w:t>基金</w:t>
      </w:r>
      <w:r>
        <w:rPr>
          <w:rFonts w:hint="eastAsia" w:ascii="方正小标宋简体" w:hAnsi="方正小标宋简体" w:eastAsia="方正小标宋简体" w:cs="方正小标宋简体"/>
          <w:sz w:val="44"/>
          <w:szCs w:val="44"/>
          <w:lang w:eastAsia="zh-CN"/>
        </w:rPr>
        <w:t>预算</w:t>
      </w:r>
      <w:r>
        <w:rPr>
          <w:rFonts w:hint="eastAsia" w:ascii="方正小标宋简体" w:hAnsi="方正小标宋简体" w:eastAsia="方正小标宋简体" w:cs="方正小标宋简体"/>
          <w:sz w:val="44"/>
          <w:szCs w:val="44"/>
        </w:rPr>
        <w:t>执行情况表</w:t>
      </w:r>
    </w:p>
    <w:p w14:paraId="580D9908">
      <w:pPr>
        <w:jc w:val="right"/>
        <w:rPr>
          <w:rFonts w:hint="eastAsia"/>
          <w:sz w:val="24"/>
          <w:szCs w:val="24"/>
        </w:rPr>
      </w:pPr>
      <w:r>
        <w:rPr>
          <w:rFonts w:hint="eastAsia"/>
        </w:rPr>
        <w:t xml:space="preserve">                                                          </w:t>
      </w:r>
      <w:r>
        <w:rPr>
          <w:rFonts w:hint="eastAsia"/>
          <w:sz w:val="24"/>
          <w:szCs w:val="24"/>
          <w:lang w:val="en-US" w:eastAsia="zh-CN"/>
        </w:rPr>
        <w:t xml:space="preserve"> </w:t>
      </w:r>
      <w:r>
        <w:rPr>
          <w:rFonts w:hint="eastAsia"/>
          <w:sz w:val="24"/>
          <w:szCs w:val="24"/>
        </w:rPr>
        <w:t>单位：万元</w:t>
      </w:r>
    </w:p>
    <w:tbl>
      <w:tblPr>
        <w:tblStyle w:val="8"/>
        <w:tblW w:w="12262" w:type="dxa"/>
        <w:jc w:val="center"/>
        <w:tblLayout w:type="fixed"/>
        <w:tblCellMar>
          <w:top w:w="0" w:type="dxa"/>
          <w:left w:w="108" w:type="dxa"/>
          <w:bottom w:w="0" w:type="dxa"/>
          <w:right w:w="108" w:type="dxa"/>
        </w:tblCellMar>
      </w:tblPr>
      <w:tblGrid>
        <w:gridCol w:w="3142"/>
        <w:gridCol w:w="1001"/>
        <w:gridCol w:w="936"/>
        <w:gridCol w:w="1087"/>
        <w:gridCol w:w="3138"/>
        <w:gridCol w:w="900"/>
        <w:gridCol w:w="960"/>
        <w:gridCol w:w="1098"/>
      </w:tblGrid>
      <w:tr w14:paraId="6C7A5C2A">
        <w:tblPrEx>
          <w:tblCellMar>
            <w:top w:w="0" w:type="dxa"/>
            <w:left w:w="108" w:type="dxa"/>
            <w:bottom w:w="0" w:type="dxa"/>
            <w:right w:w="108" w:type="dxa"/>
          </w:tblCellMar>
        </w:tblPrEx>
        <w:trPr>
          <w:trHeight w:val="454" w:hRule="atLeast"/>
          <w:jc w:val="center"/>
        </w:trPr>
        <w:tc>
          <w:tcPr>
            <w:tcW w:w="3142" w:type="dxa"/>
            <w:tcBorders>
              <w:top w:val="single" w:color="auto" w:sz="4" w:space="0"/>
              <w:left w:val="single" w:color="auto" w:sz="8" w:space="0"/>
              <w:bottom w:val="single" w:color="auto" w:sz="8" w:space="0"/>
              <w:right w:val="single" w:color="auto" w:sz="8" w:space="0"/>
            </w:tcBorders>
            <w:noWrap w:val="0"/>
            <w:vAlign w:val="center"/>
          </w:tcPr>
          <w:p w14:paraId="07080BC7">
            <w:pPr>
              <w:widowControl/>
              <w:jc w:val="center"/>
              <w:rPr>
                <w:rFonts w:hint="eastAsia" w:ascii="Times New Roman" w:hAnsi="Times New Roman" w:eastAsia="宋体" w:cs="宋体"/>
                <w:b/>
                <w:color w:val="auto"/>
                <w:kern w:val="0"/>
                <w:sz w:val="18"/>
                <w:szCs w:val="18"/>
                <w:lang w:eastAsia="zh-CN"/>
              </w:rPr>
            </w:pPr>
            <w:r>
              <w:rPr>
                <w:rFonts w:hint="eastAsia" w:ascii="Times New Roman" w:hAnsi="Times New Roman" w:eastAsia="宋体" w:cs="宋体"/>
                <w:b/>
                <w:color w:val="auto"/>
                <w:kern w:val="0"/>
                <w:sz w:val="18"/>
                <w:szCs w:val="18"/>
                <w:lang w:eastAsia="zh-CN"/>
              </w:rPr>
              <w:t>收入</w:t>
            </w:r>
          </w:p>
        </w:tc>
        <w:tc>
          <w:tcPr>
            <w:tcW w:w="1001" w:type="dxa"/>
            <w:tcBorders>
              <w:top w:val="single" w:color="auto" w:sz="4" w:space="0"/>
              <w:left w:val="nil"/>
              <w:bottom w:val="single" w:color="auto" w:sz="4" w:space="0"/>
              <w:right w:val="single" w:color="auto" w:sz="8" w:space="0"/>
            </w:tcBorders>
            <w:noWrap w:val="0"/>
            <w:vAlign w:val="center"/>
          </w:tcPr>
          <w:p w14:paraId="6A859904">
            <w:pPr>
              <w:widowControl/>
              <w:jc w:val="center"/>
              <w:rPr>
                <w:rFonts w:hint="eastAsia" w:ascii="Times New Roman" w:hAnsi="Times New Roman" w:eastAsia="宋体" w:cs="宋体"/>
                <w:b/>
                <w:color w:val="auto"/>
                <w:kern w:val="0"/>
                <w:sz w:val="18"/>
                <w:szCs w:val="18"/>
                <w:lang w:val="en-US" w:eastAsia="zh-CN"/>
              </w:rPr>
            </w:pPr>
            <w:r>
              <w:rPr>
                <w:rFonts w:hint="eastAsia" w:ascii="Times New Roman" w:hAnsi="Times New Roman" w:eastAsia="宋体" w:cs="宋体"/>
                <w:b/>
                <w:color w:val="auto"/>
                <w:kern w:val="0"/>
                <w:sz w:val="18"/>
                <w:szCs w:val="18"/>
              </w:rPr>
              <w:t>计划数</w:t>
            </w:r>
          </w:p>
        </w:tc>
        <w:tc>
          <w:tcPr>
            <w:tcW w:w="936" w:type="dxa"/>
            <w:tcBorders>
              <w:top w:val="single" w:color="auto" w:sz="4" w:space="0"/>
              <w:left w:val="nil"/>
              <w:bottom w:val="single" w:color="auto" w:sz="8" w:space="0"/>
              <w:right w:val="single" w:color="auto" w:sz="8" w:space="0"/>
            </w:tcBorders>
            <w:noWrap w:val="0"/>
            <w:vAlign w:val="center"/>
          </w:tcPr>
          <w:p w14:paraId="78EC24D0">
            <w:pPr>
              <w:widowControl/>
              <w:jc w:val="center"/>
              <w:rPr>
                <w:rFonts w:hint="eastAsia" w:ascii="Times New Roman" w:hAnsi="Times New Roman" w:eastAsia="宋体" w:cs="宋体"/>
                <w:b/>
                <w:color w:val="auto"/>
                <w:kern w:val="0"/>
                <w:sz w:val="18"/>
                <w:szCs w:val="18"/>
                <w:lang w:val="en-US" w:eastAsia="zh-CN"/>
              </w:rPr>
            </w:pPr>
            <w:r>
              <w:rPr>
                <w:rFonts w:hint="eastAsia" w:ascii="Times New Roman" w:hAnsi="Times New Roman" w:eastAsia="宋体" w:cs="宋体"/>
                <w:b/>
                <w:color w:val="auto"/>
                <w:kern w:val="0"/>
                <w:sz w:val="18"/>
                <w:szCs w:val="18"/>
                <w:lang w:eastAsia="zh-CN"/>
              </w:rPr>
              <w:t>执行</w:t>
            </w:r>
            <w:r>
              <w:rPr>
                <w:rFonts w:hint="eastAsia" w:ascii="Times New Roman" w:hAnsi="Times New Roman" w:eastAsia="宋体" w:cs="宋体"/>
                <w:b/>
                <w:color w:val="auto"/>
                <w:kern w:val="0"/>
                <w:sz w:val="18"/>
                <w:szCs w:val="18"/>
              </w:rPr>
              <w:t>数</w:t>
            </w:r>
          </w:p>
        </w:tc>
        <w:tc>
          <w:tcPr>
            <w:tcW w:w="1087" w:type="dxa"/>
            <w:tcBorders>
              <w:top w:val="single" w:color="auto" w:sz="4" w:space="0"/>
              <w:left w:val="nil"/>
              <w:bottom w:val="single" w:color="auto" w:sz="8" w:space="0"/>
              <w:right w:val="single" w:color="auto" w:sz="8" w:space="0"/>
            </w:tcBorders>
            <w:noWrap w:val="0"/>
            <w:vAlign w:val="center"/>
          </w:tcPr>
          <w:p w14:paraId="2E7B8AB3">
            <w:pPr>
              <w:widowControl/>
              <w:jc w:val="center"/>
              <w:rPr>
                <w:rFonts w:hint="eastAsia" w:ascii="Times New Roman" w:hAnsi="Times New Roman" w:eastAsia="宋体" w:cs="宋体"/>
                <w:b/>
                <w:color w:val="auto"/>
                <w:kern w:val="0"/>
                <w:sz w:val="18"/>
                <w:szCs w:val="18"/>
                <w:lang w:val="en-US" w:eastAsia="zh-CN"/>
              </w:rPr>
            </w:pPr>
            <w:r>
              <w:rPr>
                <w:rFonts w:hint="eastAsia" w:ascii="Times New Roman" w:hAnsi="Times New Roman" w:eastAsia="宋体" w:cs="宋体"/>
                <w:b/>
                <w:color w:val="auto"/>
                <w:kern w:val="0"/>
                <w:sz w:val="18"/>
                <w:szCs w:val="18"/>
              </w:rPr>
              <w:t>占计划%</w:t>
            </w:r>
          </w:p>
        </w:tc>
        <w:tc>
          <w:tcPr>
            <w:tcW w:w="3138" w:type="dxa"/>
            <w:tcBorders>
              <w:top w:val="single" w:color="auto" w:sz="4" w:space="0"/>
              <w:left w:val="nil"/>
              <w:bottom w:val="single" w:color="auto" w:sz="8" w:space="0"/>
              <w:right w:val="single" w:color="auto" w:sz="8" w:space="0"/>
            </w:tcBorders>
            <w:noWrap w:val="0"/>
            <w:vAlign w:val="center"/>
          </w:tcPr>
          <w:p w14:paraId="525861EC">
            <w:pPr>
              <w:widowControl/>
              <w:jc w:val="center"/>
              <w:rPr>
                <w:rFonts w:hint="default" w:ascii="Times New Roman" w:hAnsi="Times New Roman" w:eastAsia="宋体" w:cs="宋体"/>
                <w:b/>
                <w:color w:val="auto"/>
                <w:kern w:val="0"/>
                <w:sz w:val="18"/>
                <w:szCs w:val="18"/>
                <w:lang w:val="en-US" w:eastAsia="zh-CN"/>
              </w:rPr>
            </w:pPr>
            <w:r>
              <w:rPr>
                <w:rFonts w:hint="eastAsia" w:ascii="Times New Roman" w:hAnsi="Times New Roman" w:eastAsia="宋体" w:cs="宋体"/>
                <w:b/>
                <w:color w:val="auto"/>
                <w:kern w:val="0"/>
                <w:sz w:val="18"/>
                <w:szCs w:val="18"/>
                <w:lang w:val="en-US" w:eastAsia="zh-CN"/>
              </w:rPr>
              <w:t>支出</w:t>
            </w:r>
          </w:p>
        </w:tc>
        <w:tc>
          <w:tcPr>
            <w:tcW w:w="900" w:type="dxa"/>
            <w:tcBorders>
              <w:top w:val="single" w:color="auto" w:sz="4" w:space="0"/>
              <w:left w:val="nil"/>
              <w:bottom w:val="single" w:color="auto" w:sz="4" w:space="0"/>
              <w:right w:val="single" w:color="auto" w:sz="8" w:space="0"/>
            </w:tcBorders>
            <w:noWrap w:val="0"/>
            <w:vAlign w:val="center"/>
          </w:tcPr>
          <w:p w14:paraId="5F74078F">
            <w:pPr>
              <w:widowControl/>
              <w:jc w:val="center"/>
              <w:rPr>
                <w:rFonts w:hint="eastAsia" w:ascii="Times New Roman" w:hAnsi="Times New Roman" w:eastAsia="宋体" w:cs="宋体"/>
                <w:b/>
                <w:color w:val="auto"/>
                <w:kern w:val="0"/>
                <w:sz w:val="18"/>
                <w:szCs w:val="18"/>
                <w:lang w:val="en-US" w:eastAsia="zh-CN"/>
              </w:rPr>
            </w:pPr>
            <w:r>
              <w:rPr>
                <w:rFonts w:hint="eastAsia" w:ascii="Times New Roman" w:hAnsi="Times New Roman" w:eastAsia="宋体" w:cs="宋体"/>
                <w:b/>
                <w:color w:val="auto"/>
                <w:kern w:val="0"/>
                <w:sz w:val="18"/>
                <w:szCs w:val="18"/>
              </w:rPr>
              <w:t>计划数</w:t>
            </w:r>
          </w:p>
        </w:tc>
        <w:tc>
          <w:tcPr>
            <w:tcW w:w="960" w:type="dxa"/>
            <w:tcBorders>
              <w:top w:val="single" w:color="auto" w:sz="4" w:space="0"/>
              <w:left w:val="nil"/>
              <w:bottom w:val="single" w:color="auto" w:sz="8" w:space="0"/>
              <w:right w:val="single" w:color="auto" w:sz="8" w:space="0"/>
            </w:tcBorders>
            <w:noWrap w:val="0"/>
            <w:vAlign w:val="center"/>
          </w:tcPr>
          <w:p w14:paraId="5B9E86D7">
            <w:pPr>
              <w:widowControl/>
              <w:jc w:val="center"/>
              <w:rPr>
                <w:rFonts w:hint="eastAsia" w:ascii="Times New Roman" w:hAnsi="Times New Roman" w:eastAsia="宋体" w:cs="宋体"/>
                <w:b/>
                <w:color w:val="auto"/>
                <w:kern w:val="0"/>
                <w:sz w:val="18"/>
                <w:szCs w:val="18"/>
                <w:lang w:val="en-US" w:eastAsia="zh-CN"/>
              </w:rPr>
            </w:pPr>
            <w:r>
              <w:rPr>
                <w:rFonts w:hint="eastAsia" w:ascii="Times New Roman" w:hAnsi="Times New Roman" w:eastAsia="宋体" w:cs="宋体"/>
                <w:b/>
                <w:color w:val="auto"/>
                <w:kern w:val="0"/>
                <w:sz w:val="18"/>
                <w:szCs w:val="18"/>
                <w:lang w:eastAsia="zh-CN"/>
              </w:rPr>
              <w:t>执行</w:t>
            </w:r>
            <w:r>
              <w:rPr>
                <w:rFonts w:hint="eastAsia" w:ascii="Times New Roman" w:hAnsi="Times New Roman" w:eastAsia="宋体" w:cs="宋体"/>
                <w:b/>
                <w:color w:val="auto"/>
                <w:kern w:val="0"/>
                <w:sz w:val="18"/>
                <w:szCs w:val="18"/>
              </w:rPr>
              <w:t>数</w:t>
            </w:r>
          </w:p>
        </w:tc>
        <w:tc>
          <w:tcPr>
            <w:tcW w:w="1098" w:type="dxa"/>
            <w:tcBorders>
              <w:top w:val="single" w:color="auto" w:sz="4" w:space="0"/>
              <w:left w:val="nil"/>
              <w:bottom w:val="single" w:color="auto" w:sz="8" w:space="0"/>
              <w:right w:val="single" w:color="auto" w:sz="8" w:space="0"/>
            </w:tcBorders>
            <w:noWrap w:val="0"/>
            <w:vAlign w:val="center"/>
          </w:tcPr>
          <w:p w14:paraId="3FC6A4B9">
            <w:pPr>
              <w:widowControl/>
              <w:jc w:val="center"/>
              <w:rPr>
                <w:rFonts w:hint="eastAsia" w:ascii="Times New Roman" w:hAnsi="Times New Roman" w:eastAsia="宋体" w:cs="宋体"/>
                <w:b/>
                <w:color w:val="auto"/>
                <w:kern w:val="0"/>
                <w:sz w:val="18"/>
                <w:szCs w:val="18"/>
                <w:lang w:val="en-US" w:eastAsia="zh-CN"/>
              </w:rPr>
            </w:pPr>
            <w:r>
              <w:rPr>
                <w:rFonts w:hint="eastAsia" w:ascii="Times New Roman" w:hAnsi="Times New Roman" w:eastAsia="宋体" w:cs="宋体"/>
                <w:b/>
                <w:color w:val="auto"/>
                <w:kern w:val="0"/>
                <w:sz w:val="18"/>
                <w:szCs w:val="18"/>
              </w:rPr>
              <w:t>占计划%</w:t>
            </w:r>
          </w:p>
        </w:tc>
      </w:tr>
      <w:tr w14:paraId="1D7AA86F">
        <w:tblPrEx>
          <w:tblCellMar>
            <w:top w:w="0" w:type="dxa"/>
            <w:left w:w="108" w:type="dxa"/>
            <w:bottom w:w="0" w:type="dxa"/>
            <w:right w:w="108" w:type="dxa"/>
          </w:tblCellMar>
        </w:tblPrEx>
        <w:trPr>
          <w:trHeight w:val="454" w:hRule="atLeast"/>
          <w:jc w:val="center"/>
        </w:trPr>
        <w:tc>
          <w:tcPr>
            <w:tcW w:w="3142" w:type="dxa"/>
            <w:tcBorders>
              <w:top w:val="nil"/>
              <w:left w:val="single" w:color="auto" w:sz="8" w:space="0"/>
              <w:bottom w:val="single" w:color="auto" w:sz="8" w:space="0"/>
              <w:right w:val="single" w:color="auto" w:sz="8" w:space="0"/>
            </w:tcBorders>
            <w:noWrap w:val="0"/>
            <w:vAlign w:val="center"/>
          </w:tcPr>
          <w:p w14:paraId="433D5828">
            <w:pPr>
              <w:keepNext w:val="0"/>
              <w:keepLines w:val="0"/>
              <w:widowControl/>
              <w:suppressLineNumbers w:val="0"/>
              <w:jc w:val="center"/>
              <w:textAlignment w:val="center"/>
              <w:rPr>
                <w:rFonts w:hint="eastAsia" w:ascii="Times New Roman" w:hAnsi="Times New Roman" w:eastAsia="宋体" w:cs="宋体"/>
                <w:color w:val="auto"/>
                <w:kern w:val="0"/>
                <w:sz w:val="18"/>
                <w:szCs w:val="18"/>
                <w:lang w:eastAsia="zh-CN"/>
              </w:rPr>
            </w:pPr>
            <w:r>
              <w:rPr>
                <w:rFonts w:hint="eastAsia" w:ascii="宋体" w:hAnsi="宋体" w:eastAsia="宋体" w:cs="宋体"/>
                <w:i w:val="0"/>
                <w:iCs w:val="0"/>
                <w:color w:val="000000"/>
                <w:kern w:val="0"/>
                <w:sz w:val="18"/>
                <w:szCs w:val="18"/>
                <w:u w:val="none"/>
                <w:lang w:val="en-US" w:eastAsia="zh-CN" w:bidi="ar"/>
              </w:rPr>
              <w:t>合    计</w:t>
            </w:r>
          </w:p>
        </w:tc>
        <w:tc>
          <w:tcPr>
            <w:tcW w:w="1001" w:type="dxa"/>
            <w:tcBorders>
              <w:top w:val="single" w:color="auto" w:sz="4" w:space="0"/>
              <w:left w:val="nil"/>
              <w:bottom w:val="single" w:color="auto" w:sz="4" w:space="0"/>
              <w:right w:val="single" w:color="auto" w:sz="8" w:space="0"/>
            </w:tcBorders>
            <w:noWrap w:val="0"/>
            <w:vAlign w:val="center"/>
          </w:tcPr>
          <w:p w14:paraId="14C651F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63509</w:t>
            </w:r>
          </w:p>
        </w:tc>
        <w:tc>
          <w:tcPr>
            <w:tcW w:w="936" w:type="dxa"/>
            <w:tcBorders>
              <w:top w:val="nil"/>
              <w:left w:val="nil"/>
              <w:bottom w:val="single" w:color="auto" w:sz="8" w:space="0"/>
              <w:right w:val="single" w:color="auto" w:sz="8" w:space="0"/>
            </w:tcBorders>
            <w:noWrap w:val="0"/>
            <w:vAlign w:val="center"/>
          </w:tcPr>
          <w:p w14:paraId="4FF87F41">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19979</w:t>
            </w:r>
          </w:p>
        </w:tc>
        <w:tc>
          <w:tcPr>
            <w:tcW w:w="1087" w:type="dxa"/>
            <w:tcBorders>
              <w:top w:val="nil"/>
              <w:left w:val="nil"/>
              <w:bottom w:val="single" w:color="auto" w:sz="8" w:space="0"/>
              <w:right w:val="single" w:color="auto" w:sz="8" w:space="0"/>
            </w:tcBorders>
            <w:noWrap w:val="0"/>
            <w:vAlign w:val="center"/>
          </w:tcPr>
          <w:p w14:paraId="0F69718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31.46%</w:t>
            </w:r>
          </w:p>
        </w:tc>
        <w:tc>
          <w:tcPr>
            <w:tcW w:w="3138" w:type="dxa"/>
            <w:tcBorders>
              <w:top w:val="nil"/>
              <w:left w:val="nil"/>
              <w:bottom w:val="single" w:color="auto" w:sz="8" w:space="0"/>
              <w:right w:val="single" w:color="auto" w:sz="8" w:space="0"/>
            </w:tcBorders>
            <w:noWrap w:val="0"/>
            <w:vAlign w:val="center"/>
          </w:tcPr>
          <w:p w14:paraId="015F20D9">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合    计</w:t>
            </w:r>
          </w:p>
        </w:tc>
        <w:tc>
          <w:tcPr>
            <w:tcW w:w="900" w:type="dxa"/>
            <w:tcBorders>
              <w:top w:val="single" w:color="auto" w:sz="4" w:space="0"/>
              <w:left w:val="nil"/>
              <w:bottom w:val="single" w:color="auto" w:sz="4" w:space="0"/>
              <w:right w:val="single" w:color="auto" w:sz="8" w:space="0"/>
            </w:tcBorders>
            <w:noWrap w:val="0"/>
            <w:vAlign w:val="center"/>
          </w:tcPr>
          <w:p w14:paraId="3F17CCA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59338</w:t>
            </w:r>
          </w:p>
        </w:tc>
        <w:tc>
          <w:tcPr>
            <w:tcW w:w="960" w:type="dxa"/>
            <w:tcBorders>
              <w:top w:val="nil"/>
              <w:left w:val="nil"/>
              <w:bottom w:val="single" w:color="auto" w:sz="8" w:space="0"/>
              <w:right w:val="single" w:color="auto" w:sz="8" w:space="0"/>
            </w:tcBorders>
            <w:noWrap w:val="0"/>
            <w:vAlign w:val="center"/>
          </w:tcPr>
          <w:p w14:paraId="57BAD57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28438</w:t>
            </w:r>
          </w:p>
        </w:tc>
        <w:tc>
          <w:tcPr>
            <w:tcW w:w="1098" w:type="dxa"/>
            <w:tcBorders>
              <w:top w:val="nil"/>
              <w:left w:val="nil"/>
              <w:bottom w:val="single" w:color="auto" w:sz="8" w:space="0"/>
              <w:right w:val="single" w:color="auto" w:sz="8" w:space="0"/>
            </w:tcBorders>
            <w:noWrap w:val="0"/>
            <w:vAlign w:val="center"/>
          </w:tcPr>
          <w:p w14:paraId="397FC5F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47.93%</w:t>
            </w:r>
          </w:p>
        </w:tc>
      </w:tr>
      <w:tr w14:paraId="4E08D4B1">
        <w:tblPrEx>
          <w:tblCellMar>
            <w:top w:w="0" w:type="dxa"/>
            <w:left w:w="108" w:type="dxa"/>
            <w:bottom w:w="0" w:type="dxa"/>
            <w:right w:w="108" w:type="dxa"/>
          </w:tblCellMar>
        </w:tblPrEx>
        <w:trPr>
          <w:trHeight w:val="397" w:hRule="atLeast"/>
          <w:jc w:val="center"/>
        </w:trPr>
        <w:tc>
          <w:tcPr>
            <w:tcW w:w="3142" w:type="dxa"/>
            <w:tcBorders>
              <w:top w:val="nil"/>
              <w:left w:val="single" w:color="auto" w:sz="8" w:space="0"/>
              <w:bottom w:val="single" w:color="auto" w:sz="8" w:space="0"/>
              <w:right w:val="single" w:color="auto" w:sz="8" w:space="0"/>
            </w:tcBorders>
            <w:noWrap/>
            <w:vAlign w:val="center"/>
          </w:tcPr>
          <w:p w14:paraId="4CD97B23">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企业职工基本养老保险基金</w:t>
            </w:r>
          </w:p>
        </w:tc>
        <w:tc>
          <w:tcPr>
            <w:tcW w:w="1001" w:type="dxa"/>
            <w:tcBorders>
              <w:top w:val="single" w:color="auto" w:sz="4" w:space="0"/>
              <w:left w:val="nil"/>
              <w:bottom w:val="single" w:color="auto" w:sz="8" w:space="0"/>
              <w:right w:val="single" w:color="auto" w:sz="8" w:space="0"/>
            </w:tcBorders>
            <w:noWrap/>
            <w:vAlign w:val="center"/>
          </w:tcPr>
          <w:p w14:paraId="0BE364E4">
            <w:pPr>
              <w:jc w:val="center"/>
              <w:rPr>
                <w:rFonts w:hint="eastAsia" w:ascii="Times New Roman" w:hAnsi="Times New Roman" w:eastAsia="宋体" w:cs="宋体"/>
                <w:i w:val="0"/>
                <w:iCs w:val="0"/>
                <w:color w:val="auto"/>
                <w:kern w:val="0"/>
                <w:sz w:val="18"/>
                <w:szCs w:val="18"/>
                <w:u w:val="none"/>
                <w:lang w:val="en-US" w:eastAsia="zh-CN" w:bidi="ar"/>
              </w:rPr>
            </w:pPr>
          </w:p>
        </w:tc>
        <w:tc>
          <w:tcPr>
            <w:tcW w:w="936" w:type="dxa"/>
            <w:tcBorders>
              <w:top w:val="nil"/>
              <w:left w:val="nil"/>
              <w:bottom w:val="single" w:color="auto" w:sz="8" w:space="0"/>
              <w:right w:val="single" w:color="auto" w:sz="8" w:space="0"/>
            </w:tcBorders>
            <w:noWrap/>
            <w:vAlign w:val="center"/>
          </w:tcPr>
          <w:p w14:paraId="64B84245">
            <w:pPr>
              <w:jc w:val="center"/>
              <w:rPr>
                <w:rFonts w:hint="eastAsia" w:ascii="Times New Roman" w:hAnsi="Times New Roman" w:eastAsia="宋体" w:cs="宋体"/>
                <w:i w:val="0"/>
                <w:iCs w:val="0"/>
                <w:color w:val="auto"/>
                <w:kern w:val="0"/>
                <w:sz w:val="18"/>
                <w:szCs w:val="18"/>
                <w:u w:val="none"/>
                <w:lang w:val="en-US" w:eastAsia="zh-CN" w:bidi="ar"/>
              </w:rPr>
            </w:pPr>
          </w:p>
        </w:tc>
        <w:tc>
          <w:tcPr>
            <w:tcW w:w="1087" w:type="dxa"/>
            <w:tcBorders>
              <w:top w:val="nil"/>
              <w:left w:val="nil"/>
              <w:bottom w:val="single" w:color="auto" w:sz="8" w:space="0"/>
              <w:right w:val="single" w:color="auto" w:sz="8" w:space="0"/>
            </w:tcBorders>
            <w:noWrap/>
            <w:vAlign w:val="center"/>
          </w:tcPr>
          <w:p w14:paraId="473FB69A">
            <w:pPr>
              <w:jc w:val="center"/>
              <w:rPr>
                <w:rFonts w:hint="eastAsia" w:ascii="Times New Roman" w:hAnsi="Times New Roman" w:eastAsia="宋体" w:cs="宋体"/>
                <w:i w:val="0"/>
                <w:iCs w:val="0"/>
                <w:color w:val="auto"/>
                <w:kern w:val="0"/>
                <w:sz w:val="18"/>
                <w:szCs w:val="18"/>
                <w:u w:val="none"/>
                <w:lang w:val="en-US" w:eastAsia="zh-CN" w:bidi="ar"/>
              </w:rPr>
            </w:pPr>
          </w:p>
        </w:tc>
        <w:tc>
          <w:tcPr>
            <w:tcW w:w="3138" w:type="dxa"/>
            <w:tcBorders>
              <w:top w:val="nil"/>
              <w:left w:val="nil"/>
              <w:bottom w:val="single" w:color="auto" w:sz="8" w:space="0"/>
              <w:right w:val="single" w:color="auto" w:sz="8" w:space="0"/>
            </w:tcBorders>
            <w:noWrap/>
            <w:vAlign w:val="center"/>
          </w:tcPr>
          <w:p w14:paraId="442E5270">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企业职工基本养老保险基金</w:t>
            </w:r>
          </w:p>
        </w:tc>
        <w:tc>
          <w:tcPr>
            <w:tcW w:w="900" w:type="dxa"/>
            <w:tcBorders>
              <w:top w:val="single" w:color="auto" w:sz="4" w:space="0"/>
              <w:left w:val="nil"/>
              <w:bottom w:val="single" w:color="auto" w:sz="8" w:space="0"/>
              <w:right w:val="single" w:color="auto" w:sz="8" w:space="0"/>
            </w:tcBorders>
            <w:noWrap/>
            <w:vAlign w:val="center"/>
          </w:tcPr>
          <w:p w14:paraId="20987F56">
            <w:pPr>
              <w:jc w:val="center"/>
              <w:rPr>
                <w:rFonts w:hint="eastAsia" w:ascii="Times New Roman" w:hAnsi="Times New Roman" w:eastAsia="宋体" w:cs="宋体"/>
                <w:i w:val="0"/>
                <w:iCs w:val="0"/>
                <w:color w:val="auto"/>
                <w:kern w:val="0"/>
                <w:sz w:val="18"/>
                <w:szCs w:val="18"/>
                <w:u w:val="none"/>
                <w:lang w:val="en-US" w:eastAsia="zh-CN" w:bidi="ar"/>
              </w:rPr>
            </w:pPr>
          </w:p>
        </w:tc>
        <w:tc>
          <w:tcPr>
            <w:tcW w:w="960" w:type="dxa"/>
            <w:tcBorders>
              <w:top w:val="nil"/>
              <w:left w:val="nil"/>
              <w:bottom w:val="single" w:color="auto" w:sz="8" w:space="0"/>
              <w:right w:val="single" w:color="auto" w:sz="8" w:space="0"/>
            </w:tcBorders>
            <w:noWrap/>
            <w:vAlign w:val="center"/>
          </w:tcPr>
          <w:p w14:paraId="3B9A5B44">
            <w:pPr>
              <w:jc w:val="center"/>
              <w:rPr>
                <w:rFonts w:hint="eastAsia" w:ascii="Times New Roman" w:hAnsi="Times New Roman" w:eastAsia="宋体" w:cs="宋体"/>
                <w:i w:val="0"/>
                <w:iCs w:val="0"/>
                <w:color w:val="auto"/>
                <w:kern w:val="0"/>
                <w:sz w:val="18"/>
                <w:szCs w:val="18"/>
                <w:u w:val="none"/>
                <w:lang w:val="en-US" w:eastAsia="zh-CN" w:bidi="ar"/>
              </w:rPr>
            </w:pPr>
          </w:p>
        </w:tc>
        <w:tc>
          <w:tcPr>
            <w:tcW w:w="1098" w:type="dxa"/>
            <w:tcBorders>
              <w:top w:val="nil"/>
              <w:left w:val="nil"/>
              <w:bottom w:val="single" w:color="auto" w:sz="8" w:space="0"/>
              <w:right w:val="single" w:color="auto" w:sz="8" w:space="0"/>
            </w:tcBorders>
            <w:noWrap/>
            <w:vAlign w:val="center"/>
          </w:tcPr>
          <w:p w14:paraId="78F66ED5">
            <w:pPr>
              <w:jc w:val="center"/>
              <w:rPr>
                <w:rFonts w:hint="eastAsia" w:ascii="Times New Roman" w:hAnsi="Times New Roman" w:eastAsia="宋体" w:cs="宋体"/>
                <w:i w:val="0"/>
                <w:iCs w:val="0"/>
                <w:color w:val="auto"/>
                <w:kern w:val="0"/>
                <w:sz w:val="18"/>
                <w:szCs w:val="18"/>
                <w:u w:val="none"/>
                <w:lang w:val="en-US" w:eastAsia="zh-CN" w:bidi="ar"/>
              </w:rPr>
            </w:pPr>
          </w:p>
        </w:tc>
      </w:tr>
      <w:tr w14:paraId="5BEDFBC2">
        <w:tblPrEx>
          <w:tblCellMar>
            <w:top w:w="0" w:type="dxa"/>
            <w:left w:w="108" w:type="dxa"/>
            <w:bottom w:w="0" w:type="dxa"/>
            <w:right w:w="108" w:type="dxa"/>
          </w:tblCellMar>
        </w:tblPrEx>
        <w:trPr>
          <w:trHeight w:val="397" w:hRule="atLeast"/>
          <w:jc w:val="center"/>
        </w:trPr>
        <w:tc>
          <w:tcPr>
            <w:tcW w:w="3142" w:type="dxa"/>
            <w:tcBorders>
              <w:top w:val="nil"/>
              <w:left w:val="single" w:color="auto" w:sz="8" w:space="0"/>
              <w:bottom w:val="single" w:color="auto" w:sz="8" w:space="0"/>
              <w:right w:val="single" w:color="auto" w:sz="8" w:space="0"/>
            </w:tcBorders>
            <w:noWrap/>
            <w:vAlign w:val="center"/>
          </w:tcPr>
          <w:p w14:paraId="2B4F0B28">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城乡居民基本养老保险基金</w:t>
            </w:r>
          </w:p>
        </w:tc>
        <w:tc>
          <w:tcPr>
            <w:tcW w:w="1001" w:type="dxa"/>
            <w:tcBorders>
              <w:top w:val="nil"/>
              <w:left w:val="nil"/>
              <w:bottom w:val="single" w:color="auto" w:sz="8" w:space="0"/>
              <w:right w:val="single" w:color="auto" w:sz="8" w:space="0"/>
            </w:tcBorders>
            <w:noWrap/>
            <w:vAlign w:val="center"/>
          </w:tcPr>
          <w:p w14:paraId="2F95093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23190</w:t>
            </w:r>
          </w:p>
        </w:tc>
        <w:tc>
          <w:tcPr>
            <w:tcW w:w="936" w:type="dxa"/>
            <w:tcBorders>
              <w:top w:val="nil"/>
              <w:left w:val="nil"/>
              <w:bottom w:val="single" w:color="auto" w:sz="8" w:space="0"/>
              <w:right w:val="single" w:color="auto" w:sz="8" w:space="0"/>
            </w:tcBorders>
            <w:noWrap/>
            <w:vAlign w:val="center"/>
          </w:tcPr>
          <w:p w14:paraId="0452969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4222</w:t>
            </w:r>
          </w:p>
        </w:tc>
        <w:tc>
          <w:tcPr>
            <w:tcW w:w="1087" w:type="dxa"/>
            <w:tcBorders>
              <w:top w:val="nil"/>
              <w:left w:val="nil"/>
              <w:bottom w:val="single" w:color="auto" w:sz="8" w:space="0"/>
              <w:right w:val="single" w:color="auto" w:sz="8" w:space="0"/>
            </w:tcBorders>
            <w:noWrap/>
            <w:vAlign w:val="center"/>
          </w:tcPr>
          <w:p w14:paraId="7AD2D7C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18.21%</w:t>
            </w:r>
          </w:p>
        </w:tc>
        <w:tc>
          <w:tcPr>
            <w:tcW w:w="3138" w:type="dxa"/>
            <w:tcBorders>
              <w:top w:val="nil"/>
              <w:left w:val="nil"/>
              <w:bottom w:val="single" w:color="auto" w:sz="8" w:space="0"/>
              <w:right w:val="single" w:color="auto" w:sz="8" w:space="0"/>
            </w:tcBorders>
            <w:noWrap/>
            <w:vAlign w:val="center"/>
          </w:tcPr>
          <w:p w14:paraId="50FB5894">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城乡居民基本养老保险基金</w:t>
            </w:r>
          </w:p>
        </w:tc>
        <w:tc>
          <w:tcPr>
            <w:tcW w:w="900" w:type="dxa"/>
            <w:tcBorders>
              <w:top w:val="nil"/>
              <w:left w:val="nil"/>
              <w:bottom w:val="single" w:color="auto" w:sz="8" w:space="0"/>
              <w:right w:val="single" w:color="auto" w:sz="8" w:space="0"/>
            </w:tcBorders>
            <w:noWrap/>
            <w:vAlign w:val="center"/>
          </w:tcPr>
          <w:p w14:paraId="1DBEEBC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19029</w:t>
            </w:r>
          </w:p>
        </w:tc>
        <w:tc>
          <w:tcPr>
            <w:tcW w:w="960" w:type="dxa"/>
            <w:tcBorders>
              <w:top w:val="nil"/>
              <w:left w:val="nil"/>
              <w:bottom w:val="single" w:color="auto" w:sz="8" w:space="0"/>
              <w:right w:val="single" w:color="auto" w:sz="8" w:space="0"/>
            </w:tcBorders>
            <w:noWrap/>
            <w:vAlign w:val="center"/>
          </w:tcPr>
          <w:p w14:paraId="40AEDEF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9265</w:t>
            </w:r>
          </w:p>
        </w:tc>
        <w:tc>
          <w:tcPr>
            <w:tcW w:w="1098" w:type="dxa"/>
            <w:tcBorders>
              <w:top w:val="nil"/>
              <w:left w:val="nil"/>
              <w:bottom w:val="single" w:color="auto" w:sz="8" w:space="0"/>
              <w:right w:val="single" w:color="auto" w:sz="8" w:space="0"/>
            </w:tcBorders>
            <w:noWrap/>
            <w:vAlign w:val="center"/>
          </w:tcPr>
          <w:p w14:paraId="50343F0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48.69%</w:t>
            </w:r>
          </w:p>
        </w:tc>
      </w:tr>
      <w:tr w14:paraId="0F1CBD47">
        <w:tblPrEx>
          <w:tblCellMar>
            <w:top w:w="0" w:type="dxa"/>
            <w:left w:w="108" w:type="dxa"/>
            <w:bottom w:w="0" w:type="dxa"/>
            <w:right w:w="108" w:type="dxa"/>
          </w:tblCellMar>
        </w:tblPrEx>
        <w:trPr>
          <w:trHeight w:val="397" w:hRule="atLeast"/>
          <w:jc w:val="center"/>
        </w:trPr>
        <w:tc>
          <w:tcPr>
            <w:tcW w:w="3142" w:type="dxa"/>
            <w:tcBorders>
              <w:top w:val="nil"/>
              <w:left w:val="single" w:color="auto" w:sz="8" w:space="0"/>
              <w:bottom w:val="single" w:color="auto" w:sz="8" w:space="0"/>
              <w:right w:val="single" w:color="auto" w:sz="8" w:space="0"/>
            </w:tcBorders>
            <w:noWrap/>
            <w:vAlign w:val="center"/>
          </w:tcPr>
          <w:p w14:paraId="59EB7257">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机关事业单位基本养老保险基金</w:t>
            </w:r>
          </w:p>
        </w:tc>
        <w:tc>
          <w:tcPr>
            <w:tcW w:w="1001" w:type="dxa"/>
            <w:tcBorders>
              <w:top w:val="nil"/>
              <w:left w:val="nil"/>
              <w:bottom w:val="single" w:color="auto" w:sz="8" w:space="0"/>
              <w:right w:val="single" w:color="auto" w:sz="8" w:space="0"/>
            </w:tcBorders>
            <w:noWrap/>
            <w:vAlign w:val="center"/>
          </w:tcPr>
          <w:p w14:paraId="4031703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40319</w:t>
            </w:r>
          </w:p>
        </w:tc>
        <w:tc>
          <w:tcPr>
            <w:tcW w:w="936" w:type="dxa"/>
            <w:tcBorders>
              <w:top w:val="nil"/>
              <w:left w:val="nil"/>
              <w:bottom w:val="single" w:color="auto" w:sz="8" w:space="0"/>
              <w:right w:val="single" w:color="auto" w:sz="8" w:space="0"/>
            </w:tcBorders>
            <w:noWrap/>
            <w:vAlign w:val="center"/>
          </w:tcPr>
          <w:p w14:paraId="40B0FB93">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15757</w:t>
            </w:r>
          </w:p>
        </w:tc>
        <w:tc>
          <w:tcPr>
            <w:tcW w:w="1087" w:type="dxa"/>
            <w:tcBorders>
              <w:top w:val="nil"/>
              <w:left w:val="nil"/>
              <w:bottom w:val="single" w:color="auto" w:sz="8" w:space="0"/>
              <w:right w:val="single" w:color="auto" w:sz="8" w:space="0"/>
            </w:tcBorders>
            <w:noWrap/>
            <w:vAlign w:val="center"/>
          </w:tcPr>
          <w:p w14:paraId="1000D82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39.08%</w:t>
            </w:r>
          </w:p>
        </w:tc>
        <w:tc>
          <w:tcPr>
            <w:tcW w:w="3138" w:type="dxa"/>
            <w:tcBorders>
              <w:top w:val="nil"/>
              <w:left w:val="nil"/>
              <w:bottom w:val="single" w:color="auto" w:sz="8" w:space="0"/>
              <w:right w:val="single" w:color="auto" w:sz="8" w:space="0"/>
            </w:tcBorders>
            <w:noWrap/>
            <w:vAlign w:val="center"/>
          </w:tcPr>
          <w:p w14:paraId="13CDC5D3">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机关事业单位基本养老保险基金</w:t>
            </w:r>
          </w:p>
        </w:tc>
        <w:tc>
          <w:tcPr>
            <w:tcW w:w="900" w:type="dxa"/>
            <w:tcBorders>
              <w:top w:val="nil"/>
              <w:left w:val="nil"/>
              <w:bottom w:val="single" w:color="auto" w:sz="8" w:space="0"/>
              <w:right w:val="single" w:color="auto" w:sz="8" w:space="0"/>
            </w:tcBorders>
            <w:noWrap/>
            <w:vAlign w:val="center"/>
          </w:tcPr>
          <w:p w14:paraId="529275E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40309</w:t>
            </w:r>
          </w:p>
        </w:tc>
        <w:tc>
          <w:tcPr>
            <w:tcW w:w="960" w:type="dxa"/>
            <w:tcBorders>
              <w:top w:val="nil"/>
              <w:left w:val="nil"/>
              <w:bottom w:val="single" w:color="auto" w:sz="8" w:space="0"/>
              <w:right w:val="single" w:color="auto" w:sz="8" w:space="0"/>
            </w:tcBorders>
            <w:noWrap/>
            <w:vAlign w:val="center"/>
          </w:tcPr>
          <w:p w14:paraId="745CEDA6">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19173</w:t>
            </w:r>
          </w:p>
        </w:tc>
        <w:tc>
          <w:tcPr>
            <w:tcW w:w="1098" w:type="dxa"/>
            <w:tcBorders>
              <w:top w:val="nil"/>
              <w:left w:val="nil"/>
              <w:bottom w:val="single" w:color="auto" w:sz="8" w:space="0"/>
              <w:right w:val="single" w:color="auto" w:sz="8" w:space="0"/>
            </w:tcBorders>
            <w:noWrap/>
            <w:vAlign w:val="center"/>
          </w:tcPr>
          <w:p w14:paraId="7DD12E2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47.57%</w:t>
            </w:r>
          </w:p>
        </w:tc>
      </w:tr>
      <w:tr w14:paraId="10C0B56A">
        <w:tblPrEx>
          <w:tblCellMar>
            <w:top w:w="0" w:type="dxa"/>
            <w:left w:w="108" w:type="dxa"/>
            <w:bottom w:w="0" w:type="dxa"/>
            <w:right w:w="108" w:type="dxa"/>
          </w:tblCellMar>
        </w:tblPrEx>
        <w:trPr>
          <w:trHeight w:val="397" w:hRule="atLeast"/>
          <w:jc w:val="center"/>
        </w:trPr>
        <w:tc>
          <w:tcPr>
            <w:tcW w:w="3142" w:type="dxa"/>
            <w:tcBorders>
              <w:top w:val="nil"/>
              <w:left w:val="single" w:color="auto" w:sz="8" w:space="0"/>
              <w:bottom w:val="single" w:color="auto" w:sz="8" w:space="0"/>
              <w:right w:val="single" w:color="auto" w:sz="8" w:space="0"/>
            </w:tcBorders>
            <w:noWrap/>
            <w:vAlign w:val="center"/>
          </w:tcPr>
          <w:p w14:paraId="535937C2">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职工基本医疗保险</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含生育保险</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基金</w:t>
            </w:r>
          </w:p>
        </w:tc>
        <w:tc>
          <w:tcPr>
            <w:tcW w:w="1001" w:type="dxa"/>
            <w:tcBorders>
              <w:top w:val="nil"/>
              <w:left w:val="nil"/>
              <w:bottom w:val="single" w:color="auto" w:sz="8" w:space="0"/>
              <w:right w:val="single" w:color="auto" w:sz="8" w:space="0"/>
            </w:tcBorders>
            <w:noWrap/>
            <w:vAlign w:val="center"/>
          </w:tcPr>
          <w:p w14:paraId="350861F6">
            <w:pPr>
              <w:jc w:val="center"/>
              <w:rPr>
                <w:rFonts w:hint="eastAsia" w:ascii="Times New Roman" w:hAnsi="Times New Roman" w:eastAsia="宋体" w:cs="宋体"/>
                <w:i w:val="0"/>
                <w:iCs w:val="0"/>
                <w:color w:val="auto"/>
                <w:kern w:val="0"/>
                <w:sz w:val="18"/>
                <w:szCs w:val="18"/>
                <w:u w:val="none"/>
                <w:lang w:val="en-US" w:eastAsia="zh-CN" w:bidi="ar"/>
              </w:rPr>
            </w:pPr>
          </w:p>
        </w:tc>
        <w:tc>
          <w:tcPr>
            <w:tcW w:w="936" w:type="dxa"/>
            <w:tcBorders>
              <w:top w:val="nil"/>
              <w:left w:val="nil"/>
              <w:bottom w:val="single" w:color="auto" w:sz="8" w:space="0"/>
              <w:right w:val="single" w:color="auto" w:sz="8" w:space="0"/>
            </w:tcBorders>
            <w:noWrap/>
            <w:vAlign w:val="center"/>
          </w:tcPr>
          <w:p w14:paraId="2D78AAB0">
            <w:pPr>
              <w:jc w:val="center"/>
              <w:rPr>
                <w:rFonts w:hint="eastAsia" w:ascii="Times New Roman" w:hAnsi="Times New Roman" w:eastAsia="宋体" w:cs="宋体"/>
                <w:i w:val="0"/>
                <w:iCs w:val="0"/>
                <w:color w:val="auto"/>
                <w:kern w:val="0"/>
                <w:sz w:val="18"/>
                <w:szCs w:val="18"/>
                <w:u w:val="none"/>
                <w:lang w:val="en-US" w:eastAsia="zh-CN" w:bidi="ar"/>
              </w:rPr>
            </w:pPr>
          </w:p>
        </w:tc>
        <w:tc>
          <w:tcPr>
            <w:tcW w:w="1087" w:type="dxa"/>
            <w:tcBorders>
              <w:top w:val="nil"/>
              <w:left w:val="nil"/>
              <w:bottom w:val="single" w:color="auto" w:sz="8" w:space="0"/>
              <w:right w:val="single" w:color="auto" w:sz="8" w:space="0"/>
            </w:tcBorders>
            <w:noWrap/>
            <w:vAlign w:val="center"/>
          </w:tcPr>
          <w:p w14:paraId="6380DD14">
            <w:pPr>
              <w:jc w:val="center"/>
              <w:rPr>
                <w:rFonts w:hint="eastAsia" w:ascii="Times New Roman" w:hAnsi="Times New Roman" w:eastAsia="宋体" w:cs="宋体"/>
                <w:i w:val="0"/>
                <w:iCs w:val="0"/>
                <w:color w:val="auto"/>
                <w:kern w:val="0"/>
                <w:sz w:val="18"/>
                <w:szCs w:val="18"/>
                <w:u w:val="none"/>
                <w:lang w:val="en-US" w:eastAsia="zh-CN" w:bidi="ar"/>
              </w:rPr>
            </w:pPr>
          </w:p>
        </w:tc>
        <w:tc>
          <w:tcPr>
            <w:tcW w:w="3138" w:type="dxa"/>
            <w:tcBorders>
              <w:top w:val="nil"/>
              <w:left w:val="nil"/>
              <w:bottom w:val="single" w:color="auto" w:sz="8" w:space="0"/>
              <w:right w:val="single" w:color="auto" w:sz="8" w:space="0"/>
            </w:tcBorders>
            <w:noWrap/>
            <w:vAlign w:val="center"/>
          </w:tcPr>
          <w:p w14:paraId="7D050D9A">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职工基本医疗保险</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含生育保险</w:t>
            </w:r>
            <w:r>
              <w:rPr>
                <w:rFonts w:hint="eastAsia" w:ascii="宋体" w:hAnsi="宋体" w:cs="宋体"/>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基金</w:t>
            </w:r>
          </w:p>
        </w:tc>
        <w:tc>
          <w:tcPr>
            <w:tcW w:w="900" w:type="dxa"/>
            <w:tcBorders>
              <w:top w:val="nil"/>
              <w:left w:val="nil"/>
              <w:bottom w:val="single" w:color="auto" w:sz="8" w:space="0"/>
              <w:right w:val="single" w:color="auto" w:sz="8" w:space="0"/>
            </w:tcBorders>
            <w:noWrap/>
            <w:vAlign w:val="center"/>
          </w:tcPr>
          <w:p w14:paraId="01E98545">
            <w:pPr>
              <w:jc w:val="center"/>
              <w:rPr>
                <w:rFonts w:hint="eastAsia" w:ascii="Times New Roman" w:hAnsi="Times New Roman" w:eastAsia="宋体" w:cs="宋体"/>
                <w:i w:val="0"/>
                <w:iCs w:val="0"/>
                <w:color w:val="auto"/>
                <w:kern w:val="0"/>
                <w:sz w:val="18"/>
                <w:szCs w:val="18"/>
                <w:u w:val="none"/>
                <w:lang w:val="en-US" w:eastAsia="zh-CN" w:bidi="ar"/>
              </w:rPr>
            </w:pPr>
          </w:p>
        </w:tc>
        <w:tc>
          <w:tcPr>
            <w:tcW w:w="960" w:type="dxa"/>
            <w:tcBorders>
              <w:top w:val="nil"/>
              <w:left w:val="nil"/>
              <w:bottom w:val="single" w:color="auto" w:sz="8" w:space="0"/>
              <w:right w:val="single" w:color="auto" w:sz="8" w:space="0"/>
            </w:tcBorders>
            <w:noWrap/>
            <w:vAlign w:val="center"/>
          </w:tcPr>
          <w:p w14:paraId="5CC56432">
            <w:pPr>
              <w:jc w:val="center"/>
              <w:rPr>
                <w:rFonts w:hint="eastAsia" w:ascii="Times New Roman" w:hAnsi="Times New Roman" w:eastAsia="宋体" w:cs="宋体"/>
                <w:i w:val="0"/>
                <w:iCs w:val="0"/>
                <w:color w:val="auto"/>
                <w:kern w:val="0"/>
                <w:sz w:val="18"/>
                <w:szCs w:val="18"/>
                <w:u w:val="none"/>
                <w:lang w:val="en-US" w:eastAsia="zh-CN" w:bidi="ar"/>
              </w:rPr>
            </w:pPr>
          </w:p>
        </w:tc>
        <w:tc>
          <w:tcPr>
            <w:tcW w:w="1098" w:type="dxa"/>
            <w:tcBorders>
              <w:top w:val="nil"/>
              <w:left w:val="nil"/>
              <w:bottom w:val="single" w:color="auto" w:sz="8" w:space="0"/>
              <w:right w:val="single" w:color="auto" w:sz="8" w:space="0"/>
            </w:tcBorders>
            <w:noWrap/>
            <w:vAlign w:val="center"/>
          </w:tcPr>
          <w:p w14:paraId="7ED98887">
            <w:pPr>
              <w:jc w:val="center"/>
              <w:rPr>
                <w:rFonts w:hint="eastAsia" w:ascii="Times New Roman" w:hAnsi="Times New Roman" w:eastAsia="宋体" w:cs="宋体"/>
                <w:i w:val="0"/>
                <w:iCs w:val="0"/>
                <w:color w:val="auto"/>
                <w:kern w:val="0"/>
                <w:sz w:val="18"/>
                <w:szCs w:val="18"/>
                <w:u w:val="none"/>
                <w:lang w:val="en-US" w:eastAsia="zh-CN" w:bidi="ar"/>
              </w:rPr>
            </w:pPr>
          </w:p>
        </w:tc>
      </w:tr>
      <w:tr w14:paraId="346D001A">
        <w:tblPrEx>
          <w:tblCellMar>
            <w:top w:w="0" w:type="dxa"/>
            <w:left w:w="108" w:type="dxa"/>
            <w:bottom w:w="0" w:type="dxa"/>
            <w:right w:w="108" w:type="dxa"/>
          </w:tblCellMar>
        </w:tblPrEx>
        <w:trPr>
          <w:trHeight w:val="397" w:hRule="atLeast"/>
          <w:jc w:val="center"/>
        </w:trPr>
        <w:tc>
          <w:tcPr>
            <w:tcW w:w="3142" w:type="dxa"/>
            <w:tcBorders>
              <w:top w:val="nil"/>
              <w:left w:val="single" w:color="auto" w:sz="8" w:space="0"/>
              <w:bottom w:val="single" w:color="auto" w:sz="8" w:space="0"/>
              <w:right w:val="single" w:color="auto" w:sz="8" w:space="0"/>
            </w:tcBorders>
            <w:noWrap/>
            <w:vAlign w:val="center"/>
          </w:tcPr>
          <w:p w14:paraId="164CFF59">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城乡居民基本医疗保险基金</w:t>
            </w:r>
          </w:p>
        </w:tc>
        <w:tc>
          <w:tcPr>
            <w:tcW w:w="1001" w:type="dxa"/>
            <w:tcBorders>
              <w:top w:val="nil"/>
              <w:left w:val="nil"/>
              <w:bottom w:val="single" w:color="auto" w:sz="8" w:space="0"/>
              <w:right w:val="single" w:color="auto" w:sz="8" w:space="0"/>
            </w:tcBorders>
            <w:noWrap/>
            <w:vAlign w:val="center"/>
          </w:tcPr>
          <w:p w14:paraId="4ADF8030">
            <w:pPr>
              <w:jc w:val="center"/>
              <w:rPr>
                <w:rFonts w:hint="eastAsia" w:ascii="Times New Roman" w:hAnsi="Times New Roman" w:eastAsia="宋体" w:cs="宋体"/>
                <w:i w:val="0"/>
                <w:iCs w:val="0"/>
                <w:color w:val="auto"/>
                <w:kern w:val="0"/>
                <w:sz w:val="18"/>
                <w:szCs w:val="18"/>
                <w:u w:val="none"/>
                <w:lang w:val="en-US" w:eastAsia="zh-CN" w:bidi="ar"/>
              </w:rPr>
            </w:pPr>
          </w:p>
        </w:tc>
        <w:tc>
          <w:tcPr>
            <w:tcW w:w="936" w:type="dxa"/>
            <w:tcBorders>
              <w:top w:val="nil"/>
              <w:left w:val="nil"/>
              <w:bottom w:val="single" w:color="auto" w:sz="8" w:space="0"/>
              <w:right w:val="single" w:color="auto" w:sz="8" w:space="0"/>
            </w:tcBorders>
            <w:noWrap/>
            <w:vAlign w:val="center"/>
          </w:tcPr>
          <w:p w14:paraId="044242E9">
            <w:pPr>
              <w:jc w:val="center"/>
              <w:rPr>
                <w:rFonts w:hint="eastAsia" w:ascii="Times New Roman" w:hAnsi="Times New Roman" w:eastAsia="宋体" w:cs="宋体"/>
                <w:i w:val="0"/>
                <w:iCs w:val="0"/>
                <w:color w:val="auto"/>
                <w:kern w:val="0"/>
                <w:sz w:val="18"/>
                <w:szCs w:val="18"/>
                <w:u w:val="none"/>
                <w:lang w:val="en-US" w:eastAsia="zh-CN" w:bidi="ar"/>
              </w:rPr>
            </w:pPr>
          </w:p>
        </w:tc>
        <w:tc>
          <w:tcPr>
            <w:tcW w:w="1087" w:type="dxa"/>
            <w:tcBorders>
              <w:top w:val="nil"/>
              <w:left w:val="nil"/>
              <w:bottom w:val="single" w:color="auto" w:sz="8" w:space="0"/>
              <w:right w:val="single" w:color="auto" w:sz="8" w:space="0"/>
            </w:tcBorders>
            <w:noWrap/>
            <w:vAlign w:val="center"/>
          </w:tcPr>
          <w:p w14:paraId="1ACEA1E5">
            <w:pPr>
              <w:jc w:val="center"/>
              <w:rPr>
                <w:rFonts w:hint="eastAsia" w:ascii="Times New Roman" w:hAnsi="Times New Roman" w:eastAsia="宋体" w:cs="宋体"/>
                <w:i w:val="0"/>
                <w:iCs w:val="0"/>
                <w:color w:val="auto"/>
                <w:kern w:val="0"/>
                <w:sz w:val="18"/>
                <w:szCs w:val="18"/>
                <w:u w:val="none"/>
                <w:lang w:val="en-US" w:eastAsia="zh-CN" w:bidi="ar"/>
              </w:rPr>
            </w:pPr>
          </w:p>
        </w:tc>
        <w:tc>
          <w:tcPr>
            <w:tcW w:w="3138" w:type="dxa"/>
            <w:tcBorders>
              <w:top w:val="nil"/>
              <w:left w:val="nil"/>
              <w:bottom w:val="single" w:color="auto" w:sz="8" w:space="0"/>
              <w:right w:val="single" w:color="auto" w:sz="8" w:space="0"/>
            </w:tcBorders>
            <w:noWrap/>
            <w:vAlign w:val="center"/>
          </w:tcPr>
          <w:p w14:paraId="1BF0967B">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城乡居民基本医疗保险基金</w:t>
            </w:r>
          </w:p>
        </w:tc>
        <w:tc>
          <w:tcPr>
            <w:tcW w:w="900" w:type="dxa"/>
            <w:tcBorders>
              <w:top w:val="nil"/>
              <w:left w:val="nil"/>
              <w:bottom w:val="single" w:color="auto" w:sz="8" w:space="0"/>
              <w:right w:val="single" w:color="auto" w:sz="8" w:space="0"/>
            </w:tcBorders>
            <w:noWrap/>
            <w:vAlign w:val="center"/>
          </w:tcPr>
          <w:p w14:paraId="3A9B9B25">
            <w:pPr>
              <w:jc w:val="center"/>
              <w:rPr>
                <w:rFonts w:hint="eastAsia" w:ascii="Times New Roman" w:hAnsi="Times New Roman" w:eastAsia="宋体" w:cs="宋体"/>
                <w:i w:val="0"/>
                <w:iCs w:val="0"/>
                <w:color w:val="auto"/>
                <w:kern w:val="0"/>
                <w:sz w:val="18"/>
                <w:szCs w:val="18"/>
                <w:u w:val="none"/>
                <w:lang w:val="en-US" w:eastAsia="zh-CN" w:bidi="ar"/>
              </w:rPr>
            </w:pPr>
          </w:p>
        </w:tc>
        <w:tc>
          <w:tcPr>
            <w:tcW w:w="960" w:type="dxa"/>
            <w:tcBorders>
              <w:top w:val="nil"/>
              <w:left w:val="nil"/>
              <w:bottom w:val="single" w:color="auto" w:sz="8" w:space="0"/>
              <w:right w:val="single" w:color="auto" w:sz="8" w:space="0"/>
            </w:tcBorders>
            <w:noWrap/>
            <w:vAlign w:val="center"/>
          </w:tcPr>
          <w:p w14:paraId="60B42F7E">
            <w:pPr>
              <w:jc w:val="center"/>
              <w:rPr>
                <w:rFonts w:hint="eastAsia" w:ascii="Times New Roman" w:hAnsi="Times New Roman" w:eastAsia="宋体" w:cs="宋体"/>
                <w:i w:val="0"/>
                <w:iCs w:val="0"/>
                <w:color w:val="auto"/>
                <w:kern w:val="0"/>
                <w:sz w:val="18"/>
                <w:szCs w:val="18"/>
                <w:u w:val="none"/>
                <w:lang w:val="en-US" w:eastAsia="zh-CN" w:bidi="ar"/>
              </w:rPr>
            </w:pPr>
          </w:p>
        </w:tc>
        <w:tc>
          <w:tcPr>
            <w:tcW w:w="1098" w:type="dxa"/>
            <w:tcBorders>
              <w:top w:val="nil"/>
              <w:left w:val="nil"/>
              <w:bottom w:val="single" w:color="auto" w:sz="8" w:space="0"/>
              <w:right w:val="single" w:color="auto" w:sz="8" w:space="0"/>
            </w:tcBorders>
            <w:noWrap/>
            <w:vAlign w:val="center"/>
          </w:tcPr>
          <w:p w14:paraId="29CCD605">
            <w:pPr>
              <w:jc w:val="center"/>
              <w:rPr>
                <w:rFonts w:hint="eastAsia" w:ascii="Times New Roman" w:hAnsi="Times New Roman" w:eastAsia="宋体" w:cs="宋体"/>
                <w:i w:val="0"/>
                <w:iCs w:val="0"/>
                <w:color w:val="auto"/>
                <w:kern w:val="0"/>
                <w:sz w:val="18"/>
                <w:szCs w:val="18"/>
                <w:u w:val="none"/>
                <w:lang w:val="en-US" w:eastAsia="zh-CN" w:bidi="ar"/>
              </w:rPr>
            </w:pPr>
          </w:p>
        </w:tc>
      </w:tr>
      <w:tr w14:paraId="3DCF5D4E">
        <w:tblPrEx>
          <w:tblCellMar>
            <w:top w:w="0" w:type="dxa"/>
            <w:left w:w="108" w:type="dxa"/>
            <w:bottom w:w="0" w:type="dxa"/>
            <w:right w:w="108" w:type="dxa"/>
          </w:tblCellMar>
        </w:tblPrEx>
        <w:trPr>
          <w:trHeight w:val="397" w:hRule="atLeast"/>
          <w:jc w:val="center"/>
        </w:trPr>
        <w:tc>
          <w:tcPr>
            <w:tcW w:w="3142" w:type="dxa"/>
            <w:tcBorders>
              <w:top w:val="nil"/>
              <w:left w:val="single" w:color="auto" w:sz="8" w:space="0"/>
              <w:bottom w:val="single" w:color="auto" w:sz="8" w:space="0"/>
              <w:right w:val="single" w:color="auto" w:sz="8" w:space="0"/>
            </w:tcBorders>
            <w:noWrap/>
            <w:vAlign w:val="center"/>
          </w:tcPr>
          <w:p w14:paraId="164B14B7">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工伤保险基金</w:t>
            </w:r>
          </w:p>
        </w:tc>
        <w:tc>
          <w:tcPr>
            <w:tcW w:w="1001" w:type="dxa"/>
            <w:tcBorders>
              <w:top w:val="nil"/>
              <w:left w:val="nil"/>
              <w:bottom w:val="single" w:color="auto" w:sz="8" w:space="0"/>
              <w:right w:val="single" w:color="auto" w:sz="8" w:space="0"/>
            </w:tcBorders>
            <w:noWrap/>
            <w:vAlign w:val="center"/>
          </w:tcPr>
          <w:p w14:paraId="7AF7EB6E">
            <w:pPr>
              <w:jc w:val="center"/>
              <w:rPr>
                <w:rFonts w:hint="eastAsia" w:ascii="Times New Roman" w:hAnsi="Times New Roman" w:eastAsia="宋体" w:cs="宋体"/>
                <w:i w:val="0"/>
                <w:iCs w:val="0"/>
                <w:color w:val="auto"/>
                <w:kern w:val="0"/>
                <w:sz w:val="18"/>
                <w:szCs w:val="18"/>
                <w:u w:val="none"/>
                <w:lang w:val="en-US" w:eastAsia="zh-CN" w:bidi="ar"/>
              </w:rPr>
            </w:pPr>
          </w:p>
        </w:tc>
        <w:tc>
          <w:tcPr>
            <w:tcW w:w="936" w:type="dxa"/>
            <w:tcBorders>
              <w:top w:val="nil"/>
              <w:left w:val="nil"/>
              <w:bottom w:val="single" w:color="auto" w:sz="8" w:space="0"/>
              <w:right w:val="single" w:color="auto" w:sz="8" w:space="0"/>
            </w:tcBorders>
            <w:noWrap/>
            <w:vAlign w:val="center"/>
          </w:tcPr>
          <w:p w14:paraId="62EE46B9">
            <w:pPr>
              <w:jc w:val="center"/>
              <w:rPr>
                <w:rFonts w:hint="eastAsia" w:ascii="Times New Roman" w:hAnsi="Times New Roman" w:eastAsia="宋体" w:cs="宋体"/>
                <w:i w:val="0"/>
                <w:iCs w:val="0"/>
                <w:color w:val="auto"/>
                <w:kern w:val="0"/>
                <w:sz w:val="18"/>
                <w:szCs w:val="18"/>
                <w:u w:val="none"/>
                <w:lang w:val="en-US" w:eastAsia="zh-CN" w:bidi="ar"/>
              </w:rPr>
            </w:pPr>
          </w:p>
        </w:tc>
        <w:tc>
          <w:tcPr>
            <w:tcW w:w="1087" w:type="dxa"/>
            <w:tcBorders>
              <w:top w:val="nil"/>
              <w:left w:val="nil"/>
              <w:bottom w:val="single" w:color="auto" w:sz="8" w:space="0"/>
              <w:right w:val="single" w:color="auto" w:sz="8" w:space="0"/>
            </w:tcBorders>
            <w:noWrap/>
            <w:vAlign w:val="center"/>
          </w:tcPr>
          <w:p w14:paraId="681598ED">
            <w:pPr>
              <w:jc w:val="center"/>
              <w:rPr>
                <w:rFonts w:hint="eastAsia" w:ascii="Times New Roman" w:hAnsi="Times New Roman" w:eastAsia="宋体" w:cs="宋体"/>
                <w:i w:val="0"/>
                <w:iCs w:val="0"/>
                <w:color w:val="auto"/>
                <w:kern w:val="0"/>
                <w:sz w:val="18"/>
                <w:szCs w:val="18"/>
                <w:u w:val="none"/>
                <w:lang w:val="en-US" w:eastAsia="zh-CN" w:bidi="ar"/>
              </w:rPr>
            </w:pPr>
          </w:p>
        </w:tc>
        <w:tc>
          <w:tcPr>
            <w:tcW w:w="3138" w:type="dxa"/>
            <w:tcBorders>
              <w:top w:val="nil"/>
              <w:left w:val="nil"/>
              <w:bottom w:val="single" w:color="auto" w:sz="8" w:space="0"/>
              <w:right w:val="single" w:color="auto" w:sz="8" w:space="0"/>
            </w:tcBorders>
            <w:noWrap/>
            <w:vAlign w:val="center"/>
          </w:tcPr>
          <w:p w14:paraId="5E51CB79">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工伤保险基金</w:t>
            </w:r>
          </w:p>
        </w:tc>
        <w:tc>
          <w:tcPr>
            <w:tcW w:w="900" w:type="dxa"/>
            <w:tcBorders>
              <w:top w:val="nil"/>
              <w:left w:val="nil"/>
              <w:bottom w:val="single" w:color="auto" w:sz="8" w:space="0"/>
              <w:right w:val="single" w:color="auto" w:sz="8" w:space="0"/>
            </w:tcBorders>
            <w:noWrap/>
            <w:vAlign w:val="center"/>
          </w:tcPr>
          <w:p w14:paraId="0BB3D7BD">
            <w:pPr>
              <w:jc w:val="center"/>
              <w:rPr>
                <w:rFonts w:hint="eastAsia" w:ascii="Times New Roman" w:hAnsi="Times New Roman" w:eastAsia="宋体" w:cs="宋体"/>
                <w:i w:val="0"/>
                <w:iCs w:val="0"/>
                <w:color w:val="auto"/>
                <w:kern w:val="0"/>
                <w:sz w:val="18"/>
                <w:szCs w:val="18"/>
                <w:u w:val="none"/>
                <w:lang w:val="en-US" w:eastAsia="zh-CN" w:bidi="ar"/>
              </w:rPr>
            </w:pPr>
          </w:p>
        </w:tc>
        <w:tc>
          <w:tcPr>
            <w:tcW w:w="960" w:type="dxa"/>
            <w:tcBorders>
              <w:top w:val="nil"/>
              <w:left w:val="nil"/>
              <w:bottom w:val="single" w:color="auto" w:sz="8" w:space="0"/>
              <w:right w:val="single" w:color="auto" w:sz="8" w:space="0"/>
            </w:tcBorders>
            <w:noWrap/>
            <w:vAlign w:val="center"/>
          </w:tcPr>
          <w:p w14:paraId="546F5E2B">
            <w:pPr>
              <w:jc w:val="center"/>
              <w:rPr>
                <w:rFonts w:hint="eastAsia" w:ascii="Times New Roman" w:hAnsi="Times New Roman" w:eastAsia="宋体" w:cs="宋体"/>
                <w:i w:val="0"/>
                <w:iCs w:val="0"/>
                <w:color w:val="auto"/>
                <w:kern w:val="0"/>
                <w:sz w:val="18"/>
                <w:szCs w:val="18"/>
                <w:u w:val="none"/>
                <w:lang w:val="en-US" w:eastAsia="zh-CN" w:bidi="ar"/>
              </w:rPr>
            </w:pPr>
          </w:p>
        </w:tc>
        <w:tc>
          <w:tcPr>
            <w:tcW w:w="1098" w:type="dxa"/>
            <w:tcBorders>
              <w:top w:val="nil"/>
              <w:left w:val="nil"/>
              <w:bottom w:val="single" w:color="auto" w:sz="8" w:space="0"/>
              <w:right w:val="single" w:color="auto" w:sz="8" w:space="0"/>
            </w:tcBorders>
            <w:noWrap/>
            <w:vAlign w:val="center"/>
          </w:tcPr>
          <w:p w14:paraId="5D6A1104">
            <w:pPr>
              <w:jc w:val="center"/>
              <w:rPr>
                <w:rFonts w:hint="eastAsia" w:ascii="Times New Roman" w:hAnsi="Times New Roman" w:eastAsia="宋体" w:cs="宋体"/>
                <w:i w:val="0"/>
                <w:iCs w:val="0"/>
                <w:color w:val="auto"/>
                <w:kern w:val="0"/>
                <w:sz w:val="18"/>
                <w:szCs w:val="18"/>
                <w:u w:val="none"/>
                <w:lang w:val="en-US" w:eastAsia="zh-CN" w:bidi="ar"/>
              </w:rPr>
            </w:pPr>
          </w:p>
        </w:tc>
      </w:tr>
      <w:tr w14:paraId="0872B789">
        <w:tblPrEx>
          <w:tblCellMar>
            <w:top w:w="0" w:type="dxa"/>
            <w:left w:w="108" w:type="dxa"/>
            <w:bottom w:w="0" w:type="dxa"/>
            <w:right w:w="108" w:type="dxa"/>
          </w:tblCellMar>
        </w:tblPrEx>
        <w:trPr>
          <w:trHeight w:val="397" w:hRule="atLeast"/>
          <w:jc w:val="center"/>
        </w:trPr>
        <w:tc>
          <w:tcPr>
            <w:tcW w:w="3142" w:type="dxa"/>
            <w:tcBorders>
              <w:top w:val="nil"/>
              <w:left w:val="single" w:color="auto" w:sz="8" w:space="0"/>
              <w:bottom w:val="single" w:color="auto" w:sz="8" w:space="0"/>
              <w:right w:val="single" w:color="auto" w:sz="8" w:space="0"/>
            </w:tcBorders>
            <w:noWrap/>
            <w:vAlign w:val="center"/>
          </w:tcPr>
          <w:p w14:paraId="4F98650E">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失业保险基金</w:t>
            </w:r>
          </w:p>
        </w:tc>
        <w:tc>
          <w:tcPr>
            <w:tcW w:w="1001" w:type="dxa"/>
            <w:tcBorders>
              <w:top w:val="nil"/>
              <w:left w:val="nil"/>
              <w:bottom w:val="single" w:color="auto" w:sz="8" w:space="0"/>
              <w:right w:val="single" w:color="auto" w:sz="8" w:space="0"/>
            </w:tcBorders>
            <w:noWrap/>
            <w:vAlign w:val="center"/>
          </w:tcPr>
          <w:p w14:paraId="2F1B438F">
            <w:pPr>
              <w:jc w:val="center"/>
              <w:rPr>
                <w:rFonts w:hint="eastAsia" w:ascii="Times New Roman" w:hAnsi="Times New Roman" w:eastAsia="宋体" w:cs="宋体"/>
                <w:i w:val="0"/>
                <w:iCs w:val="0"/>
                <w:color w:val="auto"/>
                <w:kern w:val="0"/>
                <w:sz w:val="18"/>
                <w:szCs w:val="18"/>
                <w:u w:val="none"/>
                <w:lang w:val="en-US" w:eastAsia="zh-CN" w:bidi="ar"/>
              </w:rPr>
            </w:pPr>
          </w:p>
        </w:tc>
        <w:tc>
          <w:tcPr>
            <w:tcW w:w="936" w:type="dxa"/>
            <w:tcBorders>
              <w:top w:val="nil"/>
              <w:left w:val="nil"/>
              <w:bottom w:val="single" w:color="auto" w:sz="8" w:space="0"/>
              <w:right w:val="single" w:color="auto" w:sz="8" w:space="0"/>
            </w:tcBorders>
            <w:noWrap/>
            <w:vAlign w:val="center"/>
          </w:tcPr>
          <w:p w14:paraId="13F9CF48">
            <w:pPr>
              <w:jc w:val="center"/>
              <w:rPr>
                <w:rFonts w:hint="eastAsia" w:ascii="Times New Roman" w:hAnsi="Times New Roman" w:eastAsia="宋体" w:cs="宋体"/>
                <w:i w:val="0"/>
                <w:iCs w:val="0"/>
                <w:color w:val="auto"/>
                <w:kern w:val="0"/>
                <w:sz w:val="18"/>
                <w:szCs w:val="18"/>
                <w:u w:val="none"/>
                <w:lang w:val="en-US" w:eastAsia="zh-CN" w:bidi="ar"/>
              </w:rPr>
            </w:pPr>
          </w:p>
        </w:tc>
        <w:tc>
          <w:tcPr>
            <w:tcW w:w="1087" w:type="dxa"/>
            <w:tcBorders>
              <w:top w:val="nil"/>
              <w:left w:val="nil"/>
              <w:bottom w:val="single" w:color="auto" w:sz="8" w:space="0"/>
              <w:right w:val="single" w:color="auto" w:sz="8" w:space="0"/>
            </w:tcBorders>
            <w:noWrap/>
            <w:vAlign w:val="center"/>
          </w:tcPr>
          <w:p w14:paraId="0379ECFD">
            <w:pPr>
              <w:jc w:val="center"/>
              <w:rPr>
                <w:rFonts w:hint="eastAsia" w:ascii="Times New Roman" w:hAnsi="Times New Roman" w:eastAsia="宋体" w:cs="宋体"/>
                <w:i w:val="0"/>
                <w:iCs w:val="0"/>
                <w:color w:val="auto"/>
                <w:kern w:val="0"/>
                <w:sz w:val="18"/>
                <w:szCs w:val="18"/>
                <w:u w:val="none"/>
                <w:lang w:val="en-US" w:eastAsia="zh-CN" w:bidi="ar"/>
              </w:rPr>
            </w:pPr>
          </w:p>
        </w:tc>
        <w:tc>
          <w:tcPr>
            <w:tcW w:w="3138" w:type="dxa"/>
            <w:tcBorders>
              <w:top w:val="nil"/>
              <w:left w:val="nil"/>
              <w:bottom w:val="single" w:color="auto" w:sz="8" w:space="0"/>
              <w:right w:val="single" w:color="auto" w:sz="8" w:space="0"/>
            </w:tcBorders>
            <w:noWrap/>
            <w:vAlign w:val="center"/>
          </w:tcPr>
          <w:p w14:paraId="491FC69F">
            <w:pPr>
              <w:keepNext w:val="0"/>
              <w:keepLines w:val="0"/>
              <w:widowControl/>
              <w:suppressLineNumbers w:val="0"/>
              <w:jc w:val="both"/>
              <w:textAlignment w:val="center"/>
              <w:rPr>
                <w:rFonts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失业保险基金</w:t>
            </w:r>
          </w:p>
        </w:tc>
        <w:tc>
          <w:tcPr>
            <w:tcW w:w="900" w:type="dxa"/>
            <w:tcBorders>
              <w:top w:val="nil"/>
              <w:left w:val="nil"/>
              <w:bottom w:val="single" w:color="auto" w:sz="8" w:space="0"/>
              <w:right w:val="single" w:color="auto" w:sz="8" w:space="0"/>
            </w:tcBorders>
            <w:noWrap/>
            <w:vAlign w:val="center"/>
          </w:tcPr>
          <w:p w14:paraId="0BB47A20">
            <w:pPr>
              <w:jc w:val="center"/>
              <w:rPr>
                <w:rFonts w:hint="eastAsia" w:ascii="Times New Roman" w:hAnsi="Times New Roman" w:eastAsia="宋体" w:cs="宋体"/>
                <w:i w:val="0"/>
                <w:iCs w:val="0"/>
                <w:color w:val="auto"/>
                <w:kern w:val="0"/>
                <w:sz w:val="18"/>
                <w:szCs w:val="18"/>
                <w:u w:val="none"/>
                <w:lang w:val="en-US" w:eastAsia="zh-CN" w:bidi="ar"/>
              </w:rPr>
            </w:pPr>
          </w:p>
        </w:tc>
        <w:tc>
          <w:tcPr>
            <w:tcW w:w="960" w:type="dxa"/>
            <w:tcBorders>
              <w:top w:val="nil"/>
              <w:left w:val="nil"/>
              <w:bottom w:val="single" w:color="auto" w:sz="8" w:space="0"/>
              <w:right w:val="single" w:color="auto" w:sz="8" w:space="0"/>
            </w:tcBorders>
            <w:noWrap/>
            <w:vAlign w:val="center"/>
          </w:tcPr>
          <w:p w14:paraId="4944742F">
            <w:pPr>
              <w:jc w:val="center"/>
              <w:rPr>
                <w:rFonts w:hint="eastAsia" w:ascii="Times New Roman" w:hAnsi="Times New Roman" w:eastAsia="宋体" w:cs="宋体"/>
                <w:i w:val="0"/>
                <w:iCs w:val="0"/>
                <w:color w:val="auto"/>
                <w:kern w:val="0"/>
                <w:sz w:val="18"/>
                <w:szCs w:val="18"/>
                <w:u w:val="none"/>
                <w:lang w:val="en-US" w:eastAsia="zh-CN" w:bidi="ar"/>
              </w:rPr>
            </w:pPr>
          </w:p>
        </w:tc>
        <w:tc>
          <w:tcPr>
            <w:tcW w:w="1098" w:type="dxa"/>
            <w:tcBorders>
              <w:top w:val="nil"/>
              <w:left w:val="nil"/>
              <w:bottom w:val="single" w:color="auto" w:sz="8" w:space="0"/>
              <w:right w:val="single" w:color="auto" w:sz="8" w:space="0"/>
            </w:tcBorders>
            <w:noWrap/>
            <w:vAlign w:val="center"/>
          </w:tcPr>
          <w:p w14:paraId="4058D362">
            <w:pPr>
              <w:jc w:val="center"/>
              <w:rPr>
                <w:rFonts w:hint="eastAsia" w:ascii="Times New Roman" w:hAnsi="Times New Roman" w:eastAsia="宋体" w:cs="宋体"/>
                <w:i w:val="0"/>
                <w:iCs w:val="0"/>
                <w:color w:val="auto"/>
                <w:kern w:val="0"/>
                <w:sz w:val="18"/>
                <w:szCs w:val="18"/>
                <w:u w:val="none"/>
                <w:lang w:val="en-US" w:eastAsia="zh-CN" w:bidi="ar"/>
              </w:rPr>
            </w:pPr>
          </w:p>
        </w:tc>
      </w:tr>
    </w:tbl>
    <w:p w14:paraId="0D65E9FA">
      <w:pPr>
        <w:rPr>
          <w:rFonts w:hint="eastAsia"/>
          <w:lang w:val="en-US" w:eastAsia="zh-CN"/>
        </w:rPr>
        <w:sectPr>
          <w:pgSz w:w="16838" w:h="11906" w:orient="landscape"/>
          <w:pgMar w:top="1474" w:right="2098" w:bottom="1587" w:left="1984" w:header="851" w:footer="992" w:gutter="0"/>
          <w:pgNumType w:fmt="numberInDash"/>
          <w:cols w:space="425" w:num="1"/>
          <w:docGrid w:type="lines" w:linePitch="312" w:charSpace="0"/>
        </w:sectPr>
      </w:pPr>
    </w:p>
    <w:p w14:paraId="02D8FE5B">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3-04</w:t>
      </w:r>
    </w:p>
    <w:p w14:paraId="608CB5DA">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秭归县202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年上半年国有资本经营预算执行情况表</w:t>
      </w:r>
    </w:p>
    <w:p w14:paraId="2CAD12F1">
      <w:pPr>
        <w:jc w:val="right"/>
        <w:rPr>
          <w:rFonts w:hint="eastAsia"/>
          <w:sz w:val="24"/>
          <w:szCs w:val="24"/>
        </w:rPr>
      </w:pPr>
      <w:r>
        <w:rPr>
          <w:rFonts w:hint="eastAsia"/>
        </w:rPr>
        <w:t xml:space="preserve">                                                          </w:t>
      </w:r>
      <w:r>
        <w:rPr>
          <w:rFonts w:hint="eastAsia"/>
          <w:sz w:val="24"/>
          <w:szCs w:val="24"/>
          <w:lang w:val="en-US" w:eastAsia="zh-CN"/>
        </w:rPr>
        <w:t xml:space="preserve"> </w:t>
      </w:r>
      <w:r>
        <w:rPr>
          <w:rFonts w:hint="eastAsia"/>
          <w:sz w:val="24"/>
          <w:szCs w:val="24"/>
        </w:rPr>
        <w:t>单位：万元</w:t>
      </w:r>
    </w:p>
    <w:tbl>
      <w:tblPr>
        <w:tblStyle w:val="8"/>
        <w:tblW w:w="12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6"/>
        <w:gridCol w:w="1134"/>
        <w:gridCol w:w="992"/>
        <w:gridCol w:w="1134"/>
        <w:gridCol w:w="2835"/>
        <w:gridCol w:w="993"/>
        <w:gridCol w:w="905"/>
        <w:gridCol w:w="1280"/>
      </w:tblGrid>
      <w:tr w14:paraId="49A5C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4FA4A298">
            <w:pPr>
              <w:widowControl/>
              <w:jc w:val="center"/>
              <w:rPr>
                <w:rFonts w:hint="eastAsia" w:ascii="Times New Roman" w:hAnsi="Times New Roman" w:eastAsia="宋体" w:cs="宋体"/>
                <w:b/>
                <w:color w:val="auto"/>
                <w:kern w:val="0"/>
                <w:sz w:val="18"/>
                <w:szCs w:val="18"/>
                <w:lang w:val="en-US" w:eastAsia="zh-CN" w:bidi="ar-SA"/>
              </w:rPr>
            </w:pPr>
            <w:r>
              <w:rPr>
                <w:rFonts w:hint="eastAsia" w:ascii="Times New Roman" w:hAnsi="Times New Roman" w:eastAsia="宋体" w:cs="宋体"/>
                <w:b/>
                <w:color w:val="auto"/>
                <w:kern w:val="0"/>
                <w:sz w:val="18"/>
                <w:szCs w:val="18"/>
                <w:lang w:eastAsia="zh-CN"/>
              </w:rPr>
              <w:t>收入</w:t>
            </w:r>
          </w:p>
        </w:tc>
        <w:tc>
          <w:tcPr>
            <w:tcW w:w="1134" w:type="dxa"/>
            <w:noWrap w:val="0"/>
            <w:vAlign w:val="center"/>
          </w:tcPr>
          <w:p w14:paraId="44EEB50E">
            <w:pPr>
              <w:widowControl/>
              <w:jc w:val="center"/>
              <w:rPr>
                <w:rFonts w:hint="eastAsia" w:ascii="Times New Roman" w:hAnsi="Times New Roman" w:eastAsia="宋体" w:cs="宋体"/>
                <w:b/>
                <w:color w:val="auto"/>
                <w:kern w:val="0"/>
                <w:sz w:val="18"/>
                <w:szCs w:val="18"/>
                <w:lang w:val="en-US" w:eastAsia="zh-CN" w:bidi="ar-SA"/>
              </w:rPr>
            </w:pPr>
            <w:r>
              <w:rPr>
                <w:rFonts w:hint="eastAsia" w:ascii="Times New Roman" w:hAnsi="Times New Roman" w:eastAsia="宋体" w:cs="宋体"/>
                <w:b/>
                <w:color w:val="auto"/>
                <w:kern w:val="0"/>
                <w:sz w:val="18"/>
                <w:szCs w:val="18"/>
              </w:rPr>
              <w:t>计划数</w:t>
            </w:r>
          </w:p>
        </w:tc>
        <w:tc>
          <w:tcPr>
            <w:tcW w:w="992" w:type="dxa"/>
            <w:noWrap w:val="0"/>
            <w:vAlign w:val="center"/>
          </w:tcPr>
          <w:p w14:paraId="2AF3D4B6">
            <w:pPr>
              <w:widowControl/>
              <w:jc w:val="center"/>
              <w:rPr>
                <w:rFonts w:hint="eastAsia" w:ascii="Times New Roman" w:hAnsi="Times New Roman" w:eastAsia="宋体" w:cs="宋体"/>
                <w:b/>
                <w:color w:val="auto"/>
                <w:kern w:val="0"/>
                <w:sz w:val="18"/>
                <w:szCs w:val="18"/>
                <w:lang w:val="en-US" w:eastAsia="zh-CN" w:bidi="ar-SA"/>
              </w:rPr>
            </w:pPr>
            <w:r>
              <w:rPr>
                <w:rFonts w:hint="eastAsia" w:ascii="Times New Roman" w:hAnsi="Times New Roman" w:eastAsia="宋体" w:cs="宋体"/>
                <w:b/>
                <w:color w:val="auto"/>
                <w:kern w:val="0"/>
                <w:sz w:val="18"/>
                <w:szCs w:val="18"/>
                <w:lang w:eastAsia="zh-CN"/>
              </w:rPr>
              <w:t>执行</w:t>
            </w:r>
            <w:r>
              <w:rPr>
                <w:rFonts w:hint="eastAsia" w:ascii="Times New Roman" w:hAnsi="Times New Roman" w:eastAsia="宋体" w:cs="宋体"/>
                <w:b/>
                <w:color w:val="auto"/>
                <w:kern w:val="0"/>
                <w:sz w:val="18"/>
                <w:szCs w:val="18"/>
              </w:rPr>
              <w:t>数</w:t>
            </w:r>
          </w:p>
        </w:tc>
        <w:tc>
          <w:tcPr>
            <w:tcW w:w="1134" w:type="dxa"/>
            <w:noWrap w:val="0"/>
            <w:vAlign w:val="center"/>
          </w:tcPr>
          <w:p w14:paraId="1FCED5CC">
            <w:pPr>
              <w:widowControl/>
              <w:jc w:val="center"/>
              <w:rPr>
                <w:rFonts w:hint="eastAsia" w:ascii="Times New Roman" w:hAnsi="Times New Roman" w:eastAsia="宋体" w:cs="宋体"/>
                <w:b/>
                <w:color w:val="auto"/>
                <w:kern w:val="0"/>
                <w:sz w:val="18"/>
                <w:szCs w:val="18"/>
                <w:lang w:val="en-US" w:eastAsia="zh-CN" w:bidi="ar-SA"/>
              </w:rPr>
            </w:pPr>
            <w:r>
              <w:rPr>
                <w:rFonts w:hint="eastAsia" w:ascii="Times New Roman" w:hAnsi="Times New Roman" w:eastAsia="宋体" w:cs="宋体"/>
                <w:b/>
                <w:color w:val="auto"/>
                <w:kern w:val="0"/>
                <w:sz w:val="18"/>
                <w:szCs w:val="18"/>
              </w:rPr>
              <w:t>占计划%</w:t>
            </w:r>
          </w:p>
        </w:tc>
        <w:tc>
          <w:tcPr>
            <w:tcW w:w="2835" w:type="dxa"/>
            <w:noWrap w:val="0"/>
            <w:vAlign w:val="center"/>
          </w:tcPr>
          <w:p w14:paraId="331ACC66">
            <w:pPr>
              <w:widowControl/>
              <w:jc w:val="center"/>
              <w:rPr>
                <w:rFonts w:hint="eastAsia" w:ascii="Times New Roman" w:hAnsi="Times New Roman" w:eastAsia="宋体" w:cs="宋体"/>
                <w:b/>
                <w:color w:val="auto"/>
                <w:kern w:val="0"/>
                <w:sz w:val="18"/>
                <w:szCs w:val="18"/>
                <w:lang w:val="en-US" w:eastAsia="zh-CN" w:bidi="ar-SA"/>
              </w:rPr>
            </w:pPr>
            <w:r>
              <w:rPr>
                <w:rFonts w:hint="eastAsia" w:ascii="Times New Roman" w:hAnsi="Times New Roman" w:eastAsia="宋体" w:cs="宋体"/>
                <w:b/>
                <w:color w:val="auto"/>
                <w:kern w:val="0"/>
                <w:sz w:val="18"/>
                <w:szCs w:val="18"/>
                <w:lang w:val="en-US" w:eastAsia="zh-CN"/>
              </w:rPr>
              <w:t>支出</w:t>
            </w:r>
          </w:p>
        </w:tc>
        <w:tc>
          <w:tcPr>
            <w:tcW w:w="993" w:type="dxa"/>
            <w:noWrap w:val="0"/>
            <w:vAlign w:val="center"/>
          </w:tcPr>
          <w:p w14:paraId="62F28798">
            <w:pPr>
              <w:widowControl/>
              <w:jc w:val="center"/>
              <w:rPr>
                <w:rFonts w:hint="eastAsia" w:ascii="Times New Roman" w:hAnsi="Times New Roman" w:eastAsia="宋体" w:cs="宋体"/>
                <w:b/>
                <w:color w:val="auto"/>
                <w:kern w:val="0"/>
                <w:sz w:val="18"/>
                <w:szCs w:val="18"/>
                <w:lang w:val="en-US" w:eastAsia="zh-CN" w:bidi="ar-SA"/>
              </w:rPr>
            </w:pPr>
            <w:r>
              <w:rPr>
                <w:rFonts w:hint="eastAsia" w:ascii="Times New Roman" w:hAnsi="Times New Roman" w:eastAsia="宋体" w:cs="宋体"/>
                <w:b/>
                <w:color w:val="auto"/>
                <w:kern w:val="0"/>
                <w:sz w:val="18"/>
                <w:szCs w:val="18"/>
              </w:rPr>
              <w:t>计划数</w:t>
            </w:r>
          </w:p>
        </w:tc>
        <w:tc>
          <w:tcPr>
            <w:tcW w:w="905" w:type="dxa"/>
            <w:noWrap w:val="0"/>
            <w:vAlign w:val="center"/>
          </w:tcPr>
          <w:p w14:paraId="1E45DBE1">
            <w:pPr>
              <w:widowControl/>
              <w:jc w:val="center"/>
              <w:rPr>
                <w:rFonts w:hint="eastAsia" w:ascii="Times New Roman" w:hAnsi="Times New Roman" w:eastAsia="宋体" w:cs="宋体"/>
                <w:b/>
                <w:color w:val="auto"/>
                <w:kern w:val="0"/>
                <w:sz w:val="18"/>
                <w:szCs w:val="18"/>
                <w:lang w:val="en-US" w:eastAsia="zh-CN" w:bidi="ar-SA"/>
              </w:rPr>
            </w:pPr>
            <w:r>
              <w:rPr>
                <w:rFonts w:hint="eastAsia" w:ascii="Times New Roman" w:hAnsi="Times New Roman" w:eastAsia="宋体" w:cs="宋体"/>
                <w:b/>
                <w:color w:val="auto"/>
                <w:kern w:val="0"/>
                <w:sz w:val="18"/>
                <w:szCs w:val="18"/>
                <w:lang w:eastAsia="zh-CN"/>
              </w:rPr>
              <w:t>执行</w:t>
            </w:r>
            <w:r>
              <w:rPr>
                <w:rFonts w:hint="eastAsia" w:ascii="Times New Roman" w:hAnsi="Times New Roman" w:eastAsia="宋体" w:cs="宋体"/>
                <w:b/>
                <w:color w:val="auto"/>
                <w:kern w:val="0"/>
                <w:sz w:val="18"/>
                <w:szCs w:val="18"/>
              </w:rPr>
              <w:t>数</w:t>
            </w:r>
          </w:p>
        </w:tc>
        <w:tc>
          <w:tcPr>
            <w:tcW w:w="1280" w:type="dxa"/>
            <w:noWrap w:val="0"/>
            <w:vAlign w:val="center"/>
          </w:tcPr>
          <w:p w14:paraId="59728306">
            <w:pPr>
              <w:widowControl/>
              <w:jc w:val="center"/>
              <w:rPr>
                <w:rFonts w:hint="eastAsia" w:ascii="Times New Roman" w:hAnsi="Times New Roman" w:eastAsia="宋体" w:cs="宋体"/>
                <w:b/>
                <w:color w:val="auto"/>
                <w:kern w:val="0"/>
                <w:sz w:val="18"/>
                <w:szCs w:val="18"/>
                <w:lang w:val="en-US" w:eastAsia="zh-CN" w:bidi="ar-SA"/>
              </w:rPr>
            </w:pPr>
            <w:r>
              <w:rPr>
                <w:rFonts w:hint="eastAsia" w:ascii="Times New Roman" w:hAnsi="Times New Roman" w:eastAsia="宋体" w:cs="宋体"/>
                <w:b/>
                <w:color w:val="auto"/>
                <w:kern w:val="0"/>
                <w:sz w:val="18"/>
                <w:szCs w:val="18"/>
              </w:rPr>
              <w:t>占计划%</w:t>
            </w:r>
          </w:p>
        </w:tc>
      </w:tr>
      <w:tr w14:paraId="29702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1E54BA6D">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合   计</w:t>
            </w:r>
          </w:p>
        </w:tc>
        <w:tc>
          <w:tcPr>
            <w:tcW w:w="1134" w:type="dxa"/>
            <w:noWrap w:val="0"/>
            <w:vAlign w:val="center"/>
          </w:tcPr>
          <w:p w14:paraId="4A9819E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992" w:type="dxa"/>
            <w:noWrap w:val="0"/>
            <w:vAlign w:val="center"/>
          </w:tcPr>
          <w:p w14:paraId="3627492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134" w:type="dxa"/>
            <w:noWrap w:val="0"/>
            <w:vAlign w:val="center"/>
          </w:tcPr>
          <w:p w14:paraId="52F2369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835" w:type="dxa"/>
            <w:noWrap w:val="0"/>
            <w:vAlign w:val="center"/>
          </w:tcPr>
          <w:p w14:paraId="5313F770">
            <w:pPr>
              <w:keepNext w:val="0"/>
              <w:keepLines w:val="0"/>
              <w:widowControl/>
              <w:suppressLineNumbers w:val="0"/>
              <w:jc w:val="center"/>
              <w:textAlignment w:val="center"/>
              <w:rPr>
                <w:rFonts w:hint="eastAsia" w:ascii="Times New Roman" w:hAnsi="Times New Roman" w:eastAsia="宋体" w:cs="宋体"/>
                <w:color w:val="auto"/>
                <w:kern w:val="0"/>
                <w:sz w:val="18"/>
                <w:szCs w:val="18"/>
                <w:lang w:val="en-US" w:eastAsia="zh-CN" w:bidi="ar-SA"/>
              </w:rPr>
            </w:pPr>
            <w:r>
              <w:rPr>
                <w:rFonts w:hint="eastAsia" w:ascii="宋体" w:hAnsi="宋体" w:eastAsia="宋体" w:cs="宋体"/>
                <w:i w:val="0"/>
                <w:iCs w:val="0"/>
                <w:color w:val="000000"/>
                <w:kern w:val="0"/>
                <w:sz w:val="18"/>
                <w:szCs w:val="18"/>
                <w:u w:val="none"/>
                <w:lang w:val="en-US" w:eastAsia="zh-CN" w:bidi="ar"/>
              </w:rPr>
              <w:t>合   计</w:t>
            </w:r>
          </w:p>
        </w:tc>
        <w:tc>
          <w:tcPr>
            <w:tcW w:w="993" w:type="dxa"/>
            <w:noWrap w:val="0"/>
            <w:vAlign w:val="center"/>
          </w:tcPr>
          <w:p w14:paraId="314BCA5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905" w:type="dxa"/>
            <w:noWrap w:val="0"/>
            <w:vAlign w:val="center"/>
          </w:tcPr>
          <w:p w14:paraId="69C9DEF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280" w:type="dxa"/>
            <w:noWrap w:val="0"/>
            <w:vAlign w:val="center"/>
          </w:tcPr>
          <w:p w14:paraId="507BF064">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3A978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230EE67E">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利润收入</w:t>
            </w:r>
          </w:p>
        </w:tc>
        <w:tc>
          <w:tcPr>
            <w:tcW w:w="1134" w:type="dxa"/>
            <w:noWrap w:val="0"/>
            <w:vAlign w:val="center"/>
          </w:tcPr>
          <w:p w14:paraId="681A50CE">
            <w:pPr>
              <w:jc w:val="center"/>
              <w:rPr>
                <w:rFonts w:hint="eastAsia" w:ascii="Times New Roman" w:hAnsi="Times New Roman" w:eastAsia="宋体" w:cs="宋体"/>
                <w:i w:val="0"/>
                <w:iCs w:val="0"/>
                <w:color w:val="auto"/>
                <w:kern w:val="0"/>
                <w:sz w:val="18"/>
                <w:szCs w:val="18"/>
                <w:u w:val="none"/>
                <w:lang w:val="en-US" w:eastAsia="zh-CN" w:bidi="ar"/>
              </w:rPr>
            </w:pPr>
          </w:p>
        </w:tc>
        <w:tc>
          <w:tcPr>
            <w:tcW w:w="992" w:type="dxa"/>
            <w:noWrap w:val="0"/>
            <w:vAlign w:val="center"/>
          </w:tcPr>
          <w:p w14:paraId="2C3EFFB5">
            <w:pPr>
              <w:jc w:val="center"/>
              <w:rPr>
                <w:rFonts w:hint="eastAsia" w:ascii="Times New Roman" w:hAnsi="Times New Roman" w:eastAsia="宋体" w:cs="宋体"/>
                <w:i w:val="0"/>
                <w:iCs w:val="0"/>
                <w:color w:val="auto"/>
                <w:kern w:val="0"/>
                <w:sz w:val="18"/>
                <w:szCs w:val="18"/>
                <w:u w:val="none"/>
                <w:lang w:val="en-US" w:eastAsia="zh-CN" w:bidi="ar"/>
              </w:rPr>
            </w:pPr>
          </w:p>
        </w:tc>
        <w:tc>
          <w:tcPr>
            <w:tcW w:w="1134" w:type="dxa"/>
            <w:noWrap w:val="0"/>
            <w:vAlign w:val="center"/>
          </w:tcPr>
          <w:p w14:paraId="67EAB576">
            <w:pPr>
              <w:jc w:val="center"/>
              <w:rPr>
                <w:rFonts w:hint="eastAsia" w:ascii="Times New Roman" w:hAnsi="Times New Roman" w:eastAsia="宋体" w:cs="宋体"/>
                <w:i w:val="0"/>
                <w:iCs w:val="0"/>
                <w:color w:val="auto"/>
                <w:kern w:val="0"/>
                <w:sz w:val="18"/>
                <w:szCs w:val="18"/>
                <w:u w:val="none"/>
                <w:lang w:val="en-US" w:eastAsia="zh-CN" w:bidi="ar"/>
              </w:rPr>
            </w:pPr>
          </w:p>
        </w:tc>
        <w:tc>
          <w:tcPr>
            <w:tcW w:w="2835" w:type="dxa"/>
            <w:noWrap w:val="0"/>
            <w:vAlign w:val="center"/>
          </w:tcPr>
          <w:p w14:paraId="518589AB">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解决历史遗留及改革成本支出</w:t>
            </w:r>
          </w:p>
        </w:tc>
        <w:tc>
          <w:tcPr>
            <w:tcW w:w="993" w:type="dxa"/>
            <w:noWrap w:val="0"/>
            <w:vAlign w:val="center"/>
          </w:tcPr>
          <w:p w14:paraId="1C7F8435">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905" w:type="dxa"/>
            <w:noWrap w:val="0"/>
            <w:vAlign w:val="center"/>
          </w:tcPr>
          <w:p w14:paraId="7637918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280" w:type="dxa"/>
            <w:noWrap w:val="0"/>
            <w:vAlign w:val="center"/>
          </w:tcPr>
          <w:p w14:paraId="05EC6C7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r>
      <w:tr w14:paraId="03C26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5B71CC1C">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股息红利收入</w:t>
            </w:r>
          </w:p>
        </w:tc>
        <w:tc>
          <w:tcPr>
            <w:tcW w:w="1134" w:type="dxa"/>
            <w:noWrap w:val="0"/>
            <w:vAlign w:val="center"/>
          </w:tcPr>
          <w:p w14:paraId="59080A7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992" w:type="dxa"/>
            <w:noWrap w:val="0"/>
            <w:vAlign w:val="center"/>
          </w:tcPr>
          <w:p w14:paraId="7624F5D0">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w:t>
            </w:r>
          </w:p>
        </w:tc>
        <w:tc>
          <w:tcPr>
            <w:tcW w:w="1134" w:type="dxa"/>
            <w:noWrap w:val="0"/>
            <w:vAlign w:val="center"/>
          </w:tcPr>
          <w:p w14:paraId="32B5A938">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0.00%</w:t>
            </w:r>
          </w:p>
        </w:tc>
        <w:tc>
          <w:tcPr>
            <w:tcW w:w="2835" w:type="dxa"/>
            <w:noWrap w:val="0"/>
            <w:vAlign w:val="center"/>
          </w:tcPr>
          <w:p w14:paraId="4174F0C2">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国有企业资本金注入</w:t>
            </w:r>
          </w:p>
        </w:tc>
        <w:tc>
          <w:tcPr>
            <w:tcW w:w="993" w:type="dxa"/>
            <w:noWrap w:val="0"/>
            <w:vAlign w:val="center"/>
          </w:tcPr>
          <w:p w14:paraId="7A4C2998">
            <w:pPr>
              <w:jc w:val="center"/>
              <w:rPr>
                <w:rFonts w:hint="eastAsia" w:ascii="Times New Roman" w:hAnsi="Times New Roman" w:eastAsia="宋体" w:cs="宋体"/>
                <w:i w:val="0"/>
                <w:iCs w:val="0"/>
                <w:color w:val="auto"/>
                <w:kern w:val="0"/>
                <w:sz w:val="18"/>
                <w:szCs w:val="18"/>
                <w:u w:val="none"/>
                <w:lang w:val="en-US" w:eastAsia="zh-CN" w:bidi="ar"/>
              </w:rPr>
            </w:pPr>
          </w:p>
        </w:tc>
        <w:tc>
          <w:tcPr>
            <w:tcW w:w="905" w:type="dxa"/>
            <w:noWrap w:val="0"/>
            <w:vAlign w:val="center"/>
          </w:tcPr>
          <w:p w14:paraId="5FB47CA7">
            <w:pPr>
              <w:jc w:val="center"/>
              <w:rPr>
                <w:rFonts w:hint="eastAsia" w:ascii="Times New Roman" w:hAnsi="Times New Roman" w:eastAsia="宋体" w:cs="宋体"/>
                <w:i w:val="0"/>
                <w:iCs w:val="0"/>
                <w:color w:val="auto"/>
                <w:kern w:val="0"/>
                <w:sz w:val="18"/>
                <w:szCs w:val="18"/>
                <w:u w:val="none"/>
                <w:lang w:val="en-US" w:eastAsia="zh-CN" w:bidi="ar"/>
              </w:rPr>
            </w:pPr>
          </w:p>
        </w:tc>
        <w:tc>
          <w:tcPr>
            <w:tcW w:w="1280" w:type="dxa"/>
            <w:noWrap w:val="0"/>
            <w:vAlign w:val="center"/>
          </w:tcPr>
          <w:p w14:paraId="52A6923F">
            <w:pPr>
              <w:jc w:val="center"/>
              <w:rPr>
                <w:rFonts w:hint="eastAsia" w:ascii="Times New Roman" w:hAnsi="Times New Roman" w:eastAsia="宋体" w:cs="宋体"/>
                <w:i w:val="0"/>
                <w:iCs w:val="0"/>
                <w:color w:val="auto"/>
                <w:kern w:val="0"/>
                <w:sz w:val="18"/>
                <w:szCs w:val="18"/>
                <w:u w:val="none"/>
                <w:lang w:val="en-US" w:eastAsia="zh-CN" w:bidi="ar"/>
              </w:rPr>
            </w:pPr>
          </w:p>
        </w:tc>
      </w:tr>
      <w:tr w14:paraId="2D6D4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6F54377C">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产权转让收入</w:t>
            </w:r>
          </w:p>
        </w:tc>
        <w:tc>
          <w:tcPr>
            <w:tcW w:w="1134" w:type="dxa"/>
            <w:noWrap w:val="0"/>
            <w:vAlign w:val="center"/>
          </w:tcPr>
          <w:p w14:paraId="47C451C5">
            <w:pPr>
              <w:jc w:val="center"/>
              <w:rPr>
                <w:rFonts w:hint="eastAsia" w:ascii="Times New Roman" w:hAnsi="Times New Roman" w:eastAsia="宋体" w:cs="宋体"/>
                <w:i w:val="0"/>
                <w:iCs w:val="0"/>
                <w:color w:val="auto"/>
                <w:kern w:val="0"/>
                <w:sz w:val="18"/>
                <w:szCs w:val="18"/>
                <w:u w:val="none"/>
                <w:lang w:val="en-US" w:eastAsia="zh-CN" w:bidi="ar"/>
              </w:rPr>
            </w:pPr>
          </w:p>
        </w:tc>
        <w:tc>
          <w:tcPr>
            <w:tcW w:w="992" w:type="dxa"/>
            <w:noWrap w:val="0"/>
            <w:vAlign w:val="center"/>
          </w:tcPr>
          <w:p w14:paraId="011D79D5">
            <w:pPr>
              <w:jc w:val="center"/>
              <w:rPr>
                <w:rFonts w:hint="eastAsia" w:ascii="Times New Roman" w:hAnsi="Times New Roman" w:eastAsia="宋体" w:cs="宋体"/>
                <w:i w:val="0"/>
                <w:iCs w:val="0"/>
                <w:color w:val="auto"/>
                <w:kern w:val="0"/>
                <w:sz w:val="18"/>
                <w:szCs w:val="18"/>
                <w:u w:val="none"/>
                <w:lang w:val="en-US" w:eastAsia="zh-CN" w:bidi="ar"/>
              </w:rPr>
            </w:pPr>
          </w:p>
        </w:tc>
        <w:tc>
          <w:tcPr>
            <w:tcW w:w="1134" w:type="dxa"/>
            <w:noWrap w:val="0"/>
            <w:vAlign w:val="center"/>
          </w:tcPr>
          <w:p w14:paraId="0545E2E9">
            <w:pPr>
              <w:jc w:val="center"/>
              <w:rPr>
                <w:rFonts w:hint="eastAsia" w:ascii="Times New Roman" w:hAnsi="Times New Roman" w:eastAsia="宋体" w:cs="宋体"/>
                <w:i w:val="0"/>
                <w:iCs w:val="0"/>
                <w:color w:val="auto"/>
                <w:kern w:val="0"/>
                <w:sz w:val="18"/>
                <w:szCs w:val="18"/>
                <w:u w:val="none"/>
                <w:lang w:val="en-US" w:eastAsia="zh-CN" w:bidi="ar"/>
              </w:rPr>
            </w:pPr>
          </w:p>
        </w:tc>
        <w:tc>
          <w:tcPr>
            <w:tcW w:w="2835" w:type="dxa"/>
            <w:noWrap w:val="0"/>
            <w:vAlign w:val="center"/>
          </w:tcPr>
          <w:p w14:paraId="0757E435">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国有企业公益性补贴</w:t>
            </w:r>
          </w:p>
        </w:tc>
        <w:tc>
          <w:tcPr>
            <w:tcW w:w="993" w:type="dxa"/>
            <w:noWrap w:val="0"/>
            <w:vAlign w:val="center"/>
          </w:tcPr>
          <w:p w14:paraId="746FDBC5">
            <w:pPr>
              <w:jc w:val="center"/>
              <w:rPr>
                <w:rFonts w:hint="eastAsia" w:ascii="Times New Roman" w:hAnsi="Times New Roman" w:eastAsia="宋体" w:cs="宋体"/>
                <w:i w:val="0"/>
                <w:iCs w:val="0"/>
                <w:color w:val="auto"/>
                <w:kern w:val="0"/>
                <w:sz w:val="18"/>
                <w:szCs w:val="18"/>
                <w:u w:val="none"/>
                <w:lang w:val="en-US" w:eastAsia="zh-CN" w:bidi="ar"/>
              </w:rPr>
            </w:pPr>
          </w:p>
        </w:tc>
        <w:tc>
          <w:tcPr>
            <w:tcW w:w="905" w:type="dxa"/>
            <w:noWrap w:val="0"/>
            <w:vAlign w:val="center"/>
          </w:tcPr>
          <w:p w14:paraId="6165FC8D">
            <w:pPr>
              <w:jc w:val="center"/>
              <w:rPr>
                <w:rFonts w:hint="eastAsia" w:ascii="Times New Roman" w:hAnsi="Times New Roman" w:eastAsia="宋体" w:cs="宋体"/>
                <w:i w:val="0"/>
                <w:iCs w:val="0"/>
                <w:color w:val="auto"/>
                <w:kern w:val="0"/>
                <w:sz w:val="18"/>
                <w:szCs w:val="18"/>
                <w:u w:val="none"/>
                <w:lang w:val="en-US" w:eastAsia="zh-CN" w:bidi="ar"/>
              </w:rPr>
            </w:pPr>
          </w:p>
        </w:tc>
        <w:tc>
          <w:tcPr>
            <w:tcW w:w="1280" w:type="dxa"/>
            <w:noWrap w:val="0"/>
            <w:vAlign w:val="center"/>
          </w:tcPr>
          <w:p w14:paraId="0B3A61E6">
            <w:pPr>
              <w:jc w:val="center"/>
              <w:rPr>
                <w:rFonts w:hint="eastAsia" w:ascii="Times New Roman" w:hAnsi="Times New Roman" w:eastAsia="宋体" w:cs="宋体"/>
                <w:i w:val="0"/>
                <w:iCs w:val="0"/>
                <w:color w:val="auto"/>
                <w:kern w:val="0"/>
                <w:sz w:val="18"/>
                <w:szCs w:val="18"/>
                <w:u w:val="none"/>
                <w:lang w:val="en-US" w:eastAsia="zh-CN" w:bidi="ar"/>
              </w:rPr>
            </w:pPr>
          </w:p>
        </w:tc>
      </w:tr>
      <w:tr w14:paraId="1EC91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0FFCA850">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清算收入</w:t>
            </w:r>
          </w:p>
        </w:tc>
        <w:tc>
          <w:tcPr>
            <w:tcW w:w="1134" w:type="dxa"/>
            <w:noWrap w:val="0"/>
            <w:vAlign w:val="center"/>
          </w:tcPr>
          <w:p w14:paraId="10AC45A0">
            <w:pPr>
              <w:jc w:val="center"/>
              <w:rPr>
                <w:rFonts w:hint="eastAsia" w:ascii="Times New Roman" w:hAnsi="Times New Roman" w:eastAsia="宋体" w:cs="宋体"/>
                <w:i w:val="0"/>
                <w:iCs w:val="0"/>
                <w:color w:val="auto"/>
                <w:kern w:val="0"/>
                <w:sz w:val="18"/>
                <w:szCs w:val="18"/>
                <w:u w:val="none"/>
                <w:lang w:val="en-US" w:eastAsia="zh-CN" w:bidi="ar"/>
              </w:rPr>
            </w:pPr>
          </w:p>
        </w:tc>
        <w:tc>
          <w:tcPr>
            <w:tcW w:w="992" w:type="dxa"/>
            <w:noWrap w:val="0"/>
            <w:vAlign w:val="center"/>
          </w:tcPr>
          <w:p w14:paraId="1F6D037D">
            <w:pPr>
              <w:jc w:val="center"/>
              <w:rPr>
                <w:rFonts w:hint="eastAsia" w:ascii="Times New Roman" w:hAnsi="Times New Roman" w:eastAsia="宋体" w:cs="宋体"/>
                <w:i w:val="0"/>
                <w:iCs w:val="0"/>
                <w:color w:val="auto"/>
                <w:kern w:val="0"/>
                <w:sz w:val="18"/>
                <w:szCs w:val="18"/>
                <w:u w:val="none"/>
                <w:lang w:val="en-US" w:eastAsia="zh-CN" w:bidi="ar"/>
              </w:rPr>
            </w:pPr>
          </w:p>
        </w:tc>
        <w:tc>
          <w:tcPr>
            <w:tcW w:w="1134" w:type="dxa"/>
            <w:noWrap w:val="0"/>
            <w:vAlign w:val="center"/>
          </w:tcPr>
          <w:p w14:paraId="59D9F5EA">
            <w:pPr>
              <w:jc w:val="center"/>
              <w:rPr>
                <w:rFonts w:hint="eastAsia" w:ascii="Times New Roman" w:hAnsi="Times New Roman" w:eastAsia="宋体" w:cs="宋体"/>
                <w:i w:val="0"/>
                <w:iCs w:val="0"/>
                <w:color w:val="auto"/>
                <w:kern w:val="0"/>
                <w:sz w:val="18"/>
                <w:szCs w:val="18"/>
                <w:u w:val="none"/>
                <w:lang w:val="en-US" w:eastAsia="zh-CN" w:bidi="ar"/>
              </w:rPr>
            </w:pPr>
          </w:p>
        </w:tc>
        <w:tc>
          <w:tcPr>
            <w:tcW w:w="2835" w:type="dxa"/>
            <w:noWrap w:val="0"/>
            <w:vAlign w:val="center"/>
          </w:tcPr>
          <w:p w14:paraId="01DD1CE1">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其他国有资本经营预算支出</w:t>
            </w:r>
          </w:p>
        </w:tc>
        <w:tc>
          <w:tcPr>
            <w:tcW w:w="993" w:type="dxa"/>
            <w:noWrap w:val="0"/>
            <w:vAlign w:val="center"/>
          </w:tcPr>
          <w:p w14:paraId="32550C11">
            <w:pPr>
              <w:jc w:val="center"/>
              <w:rPr>
                <w:rFonts w:hint="eastAsia" w:ascii="Times New Roman" w:hAnsi="Times New Roman" w:eastAsia="宋体" w:cs="宋体"/>
                <w:i w:val="0"/>
                <w:iCs w:val="0"/>
                <w:color w:val="auto"/>
                <w:kern w:val="0"/>
                <w:sz w:val="18"/>
                <w:szCs w:val="18"/>
                <w:u w:val="none"/>
                <w:lang w:val="en-US" w:eastAsia="zh-CN" w:bidi="ar"/>
              </w:rPr>
            </w:pPr>
          </w:p>
        </w:tc>
        <w:tc>
          <w:tcPr>
            <w:tcW w:w="905" w:type="dxa"/>
            <w:noWrap w:val="0"/>
            <w:vAlign w:val="center"/>
          </w:tcPr>
          <w:p w14:paraId="6A22A83F">
            <w:pPr>
              <w:jc w:val="center"/>
              <w:rPr>
                <w:rFonts w:hint="eastAsia" w:ascii="Times New Roman" w:hAnsi="Times New Roman" w:eastAsia="宋体" w:cs="宋体"/>
                <w:i w:val="0"/>
                <w:iCs w:val="0"/>
                <w:color w:val="auto"/>
                <w:kern w:val="0"/>
                <w:sz w:val="18"/>
                <w:szCs w:val="18"/>
                <w:u w:val="none"/>
                <w:lang w:val="en-US" w:eastAsia="zh-CN" w:bidi="ar"/>
              </w:rPr>
            </w:pPr>
          </w:p>
        </w:tc>
        <w:tc>
          <w:tcPr>
            <w:tcW w:w="1280" w:type="dxa"/>
            <w:noWrap w:val="0"/>
            <w:vAlign w:val="center"/>
          </w:tcPr>
          <w:p w14:paraId="3957943D">
            <w:pPr>
              <w:jc w:val="center"/>
              <w:rPr>
                <w:rFonts w:hint="eastAsia" w:ascii="Times New Roman" w:hAnsi="Times New Roman" w:eastAsia="宋体" w:cs="宋体"/>
                <w:i w:val="0"/>
                <w:iCs w:val="0"/>
                <w:color w:val="auto"/>
                <w:kern w:val="0"/>
                <w:sz w:val="18"/>
                <w:szCs w:val="18"/>
                <w:u w:val="none"/>
                <w:lang w:val="en-US" w:eastAsia="zh-CN" w:bidi="ar"/>
              </w:rPr>
            </w:pPr>
          </w:p>
        </w:tc>
      </w:tr>
      <w:tr w14:paraId="472D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5C506B0D">
            <w:pPr>
              <w:keepNext w:val="0"/>
              <w:keepLines w:val="0"/>
              <w:widowControl/>
              <w:suppressLineNumbers w:val="0"/>
              <w:jc w:val="both"/>
              <w:textAlignment w:val="center"/>
              <w:rPr>
                <w:rFonts w:ascii="Times New Roman" w:hAnsi="Times New Roman" w:eastAsia="宋体"/>
                <w:color w:val="auto"/>
                <w:sz w:val="18"/>
                <w:szCs w:val="18"/>
              </w:rPr>
            </w:pPr>
            <w:r>
              <w:rPr>
                <w:rFonts w:hint="eastAsia" w:ascii="宋体" w:hAnsi="宋体" w:eastAsia="宋体" w:cs="宋体"/>
                <w:i w:val="0"/>
                <w:iCs w:val="0"/>
                <w:color w:val="000000"/>
                <w:kern w:val="0"/>
                <w:sz w:val="18"/>
                <w:szCs w:val="18"/>
                <w:u w:val="none"/>
                <w:lang w:val="en-US" w:eastAsia="zh-CN" w:bidi="ar"/>
              </w:rPr>
              <w:t>其他国有资本经营预算收入</w:t>
            </w:r>
          </w:p>
        </w:tc>
        <w:tc>
          <w:tcPr>
            <w:tcW w:w="1134" w:type="dxa"/>
            <w:noWrap w:val="0"/>
            <w:vAlign w:val="center"/>
          </w:tcPr>
          <w:p w14:paraId="58B013B5">
            <w:pPr>
              <w:jc w:val="center"/>
              <w:rPr>
                <w:rFonts w:hint="eastAsia" w:ascii="Times New Roman" w:hAnsi="Times New Roman" w:eastAsia="宋体" w:cs="宋体"/>
                <w:i w:val="0"/>
                <w:iCs w:val="0"/>
                <w:color w:val="auto"/>
                <w:kern w:val="0"/>
                <w:sz w:val="18"/>
                <w:szCs w:val="18"/>
                <w:u w:val="none"/>
                <w:lang w:val="en-US" w:eastAsia="zh-CN" w:bidi="ar"/>
              </w:rPr>
            </w:pPr>
          </w:p>
        </w:tc>
        <w:tc>
          <w:tcPr>
            <w:tcW w:w="992" w:type="dxa"/>
            <w:noWrap w:val="0"/>
            <w:vAlign w:val="center"/>
          </w:tcPr>
          <w:p w14:paraId="04C27A6A">
            <w:pPr>
              <w:jc w:val="center"/>
              <w:rPr>
                <w:rFonts w:hint="eastAsia" w:ascii="Times New Roman" w:hAnsi="Times New Roman" w:eastAsia="宋体" w:cs="宋体"/>
                <w:i w:val="0"/>
                <w:iCs w:val="0"/>
                <w:color w:val="auto"/>
                <w:kern w:val="0"/>
                <w:sz w:val="18"/>
                <w:szCs w:val="18"/>
                <w:u w:val="none"/>
                <w:lang w:val="en-US" w:eastAsia="zh-CN" w:bidi="ar"/>
              </w:rPr>
            </w:pPr>
          </w:p>
        </w:tc>
        <w:tc>
          <w:tcPr>
            <w:tcW w:w="1134" w:type="dxa"/>
            <w:noWrap w:val="0"/>
            <w:vAlign w:val="center"/>
          </w:tcPr>
          <w:p w14:paraId="20B1BB2A">
            <w:pPr>
              <w:jc w:val="center"/>
              <w:rPr>
                <w:rFonts w:hint="eastAsia" w:ascii="Times New Roman" w:hAnsi="Times New Roman" w:eastAsia="宋体" w:cs="宋体"/>
                <w:i w:val="0"/>
                <w:iCs w:val="0"/>
                <w:color w:val="auto"/>
                <w:kern w:val="0"/>
                <w:sz w:val="18"/>
                <w:szCs w:val="18"/>
                <w:u w:val="none"/>
                <w:lang w:val="en-US" w:eastAsia="zh-CN" w:bidi="ar"/>
              </w:rPr>
            </w:pPr>
          </w:p>
        </w:tc>
        <w:tc>
          <w:tcPr>
            <w:tcW w:w="2835" w:type="dxa"/>
            <w:noWrap w:val="0"/>
            <w:vAlign w:val="center"/>
          </w:tcPr>
          <w:p w14:paraId="03E1B661">
            <w:pPr>
              <w:rPr>
                <w:rFonts w:ascii="Times New Roman" w:hAnsi="Times New Roman" w:eastAsia="宋体"/>
                <w:color w:val="auto"/>
                <w:sz w:val="18"/>
                <w:szCs w:val="18"/>
              </w:rPr>
            </w:pPr>
          </w:p>
        </w:tc>
        <w:tc>
          <w:tcPr>
            <w:tcW w:w="993" w:type="dxa"/>
            <w:noWrap w:val="0"/>
            <w:vAlign w:val="center"/>
          </w:tcPr>
          <w:p w14:paraId="1C4FCB37">
            <w:pPr>
              <w:rPr>
                <w:rFonts w:hint="eastAsia" w:ascii="Times New Roman" w:hAnsi="Times New Roman" w:eastAsia="宋体" w:cs="宋体"/>
                <w:i w:val="0"/>
                <w:iCs w:val="0"/>
                <w:color w:val="auto"/>
                <w:kern w:val="0"/>
                <w:sz w:val="18"/>
                <w:szCs w:val="18"/>
                <w:u w:val="none"/>
                <w:lang w:val="en-US" w:eastAsia="zh-CN" w:bidi="ar"/>
              </w:rPr>
            </w:pPr>
          </w:p>
        </w:tc>
        <w:tc>
          <w:tcPr>
            <w:tcW w:w="905" w:type="dxa"/>
            <w:noWrap w:val="0"/>
            <w:vAlign w:val="center"/>
          </w:tcPr>
          <w:p w14:paraId="74BFB2AE">
            <w:pPr>
              <w:rPr>
                <w:rFonts w:hint="default" w:ascii="Times New Roman" w:hAnsi="Times New Roman" w:eastAsia="宋体" w:cs="宋体"/>
                <w:i w:val="0"/>
                <w:iCs w:val="0"/>
                <w:color w:val="auto"/>
                <w:kern w:val="0"/>
                <w:sz w:val="18"/>
                <w:szCs w:val="18"/>
                <w:u w:val="none"/>
                <w:lang w:val="en-US" w:eastAsia="zh-CN" w:bidi="ar"/>
              </w:rPr>
            </w:pPr>
          </w:p>
        </w:tc>
        <w:tc>
          <w:tcPr>
            <w:tcW w:w="1280" w:type="dxa"/>
            <w:noWrap w:val="0"/>
            <w:vAlign w:val="center"/>
          </w:tcPr>
          <w:p w14:paraId="642E1F37">
            <w:pPr>
              <w:rPr>
                <w:rFonts w:hint="eastAsia" w:ascii="Times New Roman" w:hAnsi="Times New Roman" w:eastAsia="宋体" w:cs="宋体"/>
                <w:i w:val="0"/>
                <w:iCs w:val="0"/>
                <w:color w:val="auto"/>
                <w:kern w:val="0"/>
                <w:sz w:val="18"/>
                <w:szCs w:val="18"/>
                <w:u w:val="none"/>
                <w:lang w:val="en-US" w:eastAsia="zh-CN" w:bidi="ar"/>
              </w:rPr>
            </w:pPr>
          </w:p>
        </w:tc>
      </w:tr>
      <w:tr w14:paraId="35F5A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67EFFC35">
            <w:pPr>
              <w:spacing w:line="380" w:lineRule="exact"/>
              <w:rPr>
                <w:rFonts w:ascii="Times New Roman" w:hAnsi="Times New Roman" w:eastAsia="宋体"/>
                <w:color w:val="auto"/>
                <w:sz w:val="18"/>
                <w:szCs w:val="18"/>
              </w:rPr>
            </w:pPr>
          </w:p>
        </w:tc>
        <w:tc>
          <w:tcPr>
            <w:tcW w:w="1134" w:type="dxa"/>
            <w:noWrap w:val="0"/>
            <w:vAlign w:val="center"/>
          </w:tcPr>
          <w:p w14:paraId="7336BCE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992" w:type="dxa"/>
            <w:noWrap w:val="0"/>
            <w:vAlign w:val="center"/>
          </w:tcPr>
          <w:p w14:paraId="25B31D1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1134" w:type="dxa"/>
            <w:noWrap w:val="0"/>
            <w:vAlign w:val="center"/>
          </w:tcPr>
          <w:p w14:paraId="3F5CCB0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2835" w:type="dxa"/>
            <w:noWrap w:val="0"/>
            <w:vAlign w:val="center"/>
          </w:tcPr>
          <w:p w14:paraId="6E1FC8A9">
            <w:pPr>
              <w:spacing w:line="380" w:lineRule="exact"/>
              <w:rPr>
                <w:rFonts w:ascii="Times New Roman" w:hAnsi="Times New Roman" w:eastAsia="宋体"/>
                <w:color w:val="auto"/>
                <w:sz w:val="18"/>
                <w:szCs w:val="18"/>
              </w:rPr>
            </w:pPr>
          </w:p>
        </w:tc>
        <w:tc>
          <w:tcPr>
            <w:tcW w:w="993" w:type="dxa"/>
            <w:noWrap w:val="0"/>
            <w:vAlign w:val="center"/>
          </w:tcPr>
          <w:p w14:paraId="2222160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905" w:type="dxa"/>
            <w:noWrap w:val="0"/>
            <w:vAlign w:val="center"/>
          </w:tcPr>
          <w:p w14:paraId="395D5752">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1280" w:type="dxa"/>
            <w:noWrap w:val="0"/>
            <w:vAlign w:val="center"/>
          </w:tcPr>
          <w:p w14:paraId="675766AA">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r>
      <w:tr w14:paraId="78D54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26AC88A0">
            <w:pPr>
              <w:spacing w:line="380" w:lineRule="exact"/>
              <w:rPr>
                <w:rFonts w:ascii="Times New Roman" w:hAnsi="Times New Roman" w:eastAsia="宋体"/>
                <w:color w:val="auto"/>
                <w:sz w:val="18"/>
                <w:szCs w:val="18"/>
              </w:rPr>
            </w:pPr>
          </w:p>
        </w:tc>
        <w:tc>
          <w:tcPr>
            <w:tcW w:w="1134" w:type="dxa"/>
            <w:noWrap w:val="0"/>
            <w:vAlign w:val="center"/>
          </w:tcPr>
          <w:p w14:paraId="5327FB2E">
            <w:pPr>
              <w:jc w:val="center"/>
              <w:rPr>
                <w:rFonts w:ascii="Times New Roman" w:hAnsi="Times New Roman" w:cs="宋体"/>
                <w:color w:val="auto"/>
                <w:kern w:val="0"/>
                <w:sz w:val="18"/>
                <w:szCs w:val="18"/>
              </w:rPr>
            </w:pPr>
          </w:p>
        </w:tc>
        <w:tc>
          <w:tcPr>
            <w:tcW w:w="992" w:type="dxa"/>
            <w:noWrap w:val="0"/>
            <w:vAlign w:val="center"/>
          </w:tcPr>
          <w:p w14:paraId="60A8DC76">
            <w:pPr>
              <w:jc w:val="center"/>
              <w:rPr>
                <w:rFonts w:ascii="Times New Roman" w:hAnsi="Times New Roman" w:cs="宋体"/>
                <w:color w:val="auto"/>
                <w:kern w:val="0"/>
                <w:sz w:val="18"/>
                <w:szCs w:val="18"/>
              </w:rPr>
            </w:pPr>
          </w:p>
        </w:tc>
        <w:tc>
          <w:tcPr>
            <w:tcW w:w="1134" w:type="dxa"/>
            <w:noWrap w:val="0"/>
            <w:vAlign w:val="center"/>
          </w:tcPr>
          <w:p w14:paraId="29FD3790">
            <w:pPr>
              <w:jc w:val="center"/>
              <w:rPr>
                <w:rFonts w:ascii="Times New Roman" w:hAnsi="Times New Roman" w:cs="宋体"/>
                <w:color w:val="auto"/>
                <w:kern w:val="0"/>
                <w:sz w:val="18"/>
                <w:szCs w:val="18"/>
              </w:rPr>
            </w:pPr>
          </w:p>
        </w:tc>
        <w:tc>
          <w:tcPr>
            <w:tcW w:w="2835" w:type="dxa"/>
            <w:noWrap w:val="0"/>
            <w:vAlign w:val="center"/>
          </w:tcPr>
          <w:p w14:paraId="18A5DBC3">
            <w:pPr>
              <w:spacing w:line="380" w:lineRule="exact"/>
              <w:rPr>
                <w:rFonts w:ascii="Times New Roman" w:hAnsi="Times New Roman" w:eastAsia="宋体"/>
                <w:color w:val="auto"/>
                <w:sz w:val="18"/>
                <w:szCs w:val="18"/>
              </w:rPr>
            </w:pPr>
          </w:p>
        </w:tc>
        <w:tc>
          <w:tcPr>
            <w:tcW w:w="993" w:type="dxa"/>
            <w:noWrap w:val="0"/>
            <w:vAlign w:val="center"/>
          </w:tcPr>
          <w:p w14:paraId="50D537EB">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905" w:type="dxa"/>
            <w:noWrap w:val="0"/>
            <w:vAlign w:val="center"/>
          </w:tcPr>
          <w:p w14:paraId="1EE57B8D">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1280" w:type="dxa"/>
            <w:noWrap w:val="0"/>
            <w:vAlign w:val="center"/>
          </w:tcPr>
          <w:p w14:paraId="0C410089">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r>
      <w:tr w14:paraId="0AE2D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566BF9E6">
            <w:pPr>
              <w:spacing w:line="380" w:lineRule="exact"/>
              <w:rPr>
                <w:rFonts w:ascii="Times New Roman" w:hAnsi="Times New Roman" w:eastAsia="宋体"/>
                <w:color w:val="auto"/>
                <w:sz w:val="18"/>
                <w:szCs w:val="18"/>
              </w:rPr>
            </w:pPr>
          </w:p>
        </w:tc>
        <w:tc>
          <w:tcPr>
            <w:tcW w:w="1134" w:type="dxa"/>
            <w:noWrap w:val="0"/>
            <w:vAlign w:val="center"/>
          </w:tcPr>
          <w:p w14:paraId="0419F4AA">
            <w:pPr>
              <w:jc w:val="center"/>
              <w:rPr>
                <w:rFonts w:ascii="Times New Roman" w:hAnsi="Times New Roman" w:cs="宋体"/>
                <w:color w:val="auto"/>
                <w:kern w:val="0"/>
                <w:sz w:val="18"/>
                <w:szCs w:val="18"/>
              </w:rPr>
            </w:pPr>
          </w:p>
        </w:tc>
        <w:tc>
          <w:tcPr>
            <w:tcW w:w="992" w:type="dxa"/>
            <w:noWrap w:val="0"/>
            <w:vAlign w:val="center"/>
          </w:tcPr>
          <w:p w14:paraId="0F7E5390">
            <w:pPr>
              <w:jc w:val="center"/>
              <w:rPr>
                <w:rFonts w:ascii="Times New Roman" w:hAnsi="Times New Roman" w:cs="宋体"/>
                <w:color w:val="auto"/>
                <w:kern w:val="0"/>
                <w:sz w:val="18"/>
                <w:szCs w:val="18"/>
              </w:rPr>
            </w:pPr>
          </w:p>
        </w:tc>
        <w:tc>
          <w:tcPr>
            <w:tcW w:w="1134" w:type="dxa"/>
            <w:noWrap w:val="0"/>
            <w:vAlign w:val="center"/>
          </w:tcPr>
          <w:p w14:paraId="1F08A0A7">
            <w:pPr>
              <w:jc w:val="center"/>
              <w:rPr>
                <w:rFonts w:ascii="Times New Roman" w:hAnsi="Times New Roman" w:cs="宋体"/>
                <w:color w:val="auto"/>
                <w:kern w:val="0"/>
                <w:sz w:val="18"/>
                <w:szCs w:val="18"/>
              </w:rPr>
            </w:pPr>
          </w:p>
        </w:tc>
        <w:tc>
          <w:tcPr>
            <w:tcW w:w="2835" w:type="dxa"/>
            <w:noWrap w:val="0"/>
            <w:vAlign w:val="center"/>
          </w:tcPr>
          <w:p w14:paraId="67481871">
            <w:pPr>
              <w:spacing w:line="380" w:lineRule="exact"/>
              <w:rPr>
                <w:rFonts w:ascii="Times New Roman" w:hAnsi="Times New Roman" w:eastAsia="宋体"/>
                <w:color w:val="auto"/>
                <w:sz w:val="18"/>
                <w:szCs w:val="18"/>
              </w:rPr>
            </w:pPr>
          </w:p>
        </w:tc>
        <w:tc>
          <w:tcPr>
            <w:tcW w:w="993" w:type="dxa"/>
            <w:noWrap w:val="0"/>
            <w:vAlign w:val="center"/>
          </w:tcPr>
          <w:p w14:paraId="64C15C4E">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905" w:type="dxa"/>
            <w:noWrap w:val="0"/>
            <w:vAlign w:val="center"/>
          </w:tcPr>
          <w:p w14:paraId="5503EC8C">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c>
          <w:tcPr>
            <w:tcW w:w="1280" w:type="dxa"/>
            <w:noWrap w:val="0"/>
            <w:vAlign w:val="center"/>
          </w:tcPr>
          <w:p w14:paraId="0ADF47E7">
            <w:pPr>
              <w:keepNext w:val="0"/>
              <w:keepLines w:val="0"/>
              <w:widowControl/>
              <w:suppressLineNumbers w:val="0"/>
              <w:jc w:val="center"/>
              <w:textAlignment w:val="center"/>
              <w:rPr>
                <w:rFonts w:hint="eastAsia" w:ascii="Times New Roman" w:hAnsi="Times New Roman" w:eastAsia="宋体" w:cs="宋体"/>
                <w:i w:val="0"/>
                <w:iCs w:val="0"/>
                <w:color w:val="auto"/>
                <w:kern w:val="0"/>
                <w:sz w:val="18"/>
                <w:szCs w:val="18"/>
                <w:u w:val="none"/>
                <w:lang w:val="en-US" w:eastAsia="zh-CN" w:bidi="ar"/>
              </w:rPr>
            </w:pPr>
          </w:p>
        </w:tc>
      </w:tr>
      <w:tr w14:paraId="45292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25A0E7D6">
            <w:pPr>
              <w:spacing w:line="380" w:lineRule="exact"/>
              <w:rPr>
                <w:rFonts w:ascii="Times New Roman" w:hAnsi="Times New Roman" w:eastAsia="宋体"/>
                <w:color w:val="auto"/>
                <w:sz w:val="18"/>
                <w:szCs w:val="18"/>
              </w:rPr>
            </w:pPr>
          </w:p>
        </w:tc>
        <w:tc>
          <w:tcPr>
            <w:tcW w:w="1134" w:type="dxa"/>
            <w:noWrap w:val="0"/>
            <w:vAlign w:val="center"/>
          </w:tcPr>
          <w:p w14:paraId="2A05D159">
            <w:pPr>
              <w:jc w:val="center"/>
              <w:rPr>
                <w:rFonts w:ascii="Times New Roman" w:hAnsi="Times New Roman" w:cs="宋体"/>
                <w:color w:val="auto"/>
                <w:kern w:val="0"/>
                <w:sz w:val="18"/>
                <w:szCs w:val="18"/>
              </w:rPr>
            </w:pPr>
          </w:p>
        </w:tc>
        <w:tc>
          <w:tcPr>
            <w:tcW w:w="992" w:type="dxa"/>
            <w:noWrap w:val="0"/>
            <w:vAlign w:val="center"/>
          </w:tcPr>
          <w:p w14:paraId="57CBEB94">
            <w:pPr>
              <w:jc w:val="center"/>
              <w:rPr>
                <w:rFonts w:ascii="Times New Roman" w:hAnsi="Times New Roman" w:cs="宋体"/>
                <w:color w:val="auto"/>
                <w:kern w:val="0"/>
                <w:sz w:val="18"/>
                <w:szCs w:val="18"/>
              </w:rPr>
            </w:pPr>
          </w:p>
        </w:tc>
        <w:tc>
          <w:tcPr>
            <w:tcW w:w="1134" w:type="dxa"/>
            <w:noWrap w:val="0"/>
            <w:vAlign w:val="center"/>
          </w:tcPr>
          <w:p w14:paraId="380B5C6C">
            <w:pPr>
              <w:jc w:val="center"/>
              <w:rPr>
                <w:rFonts w:ascii="Times New Roman" w:hAnsi="Times New Roman" w:cs="宋体"/>
                <w:color w:val="auto"/>
                <w:kern w:val="0"/>
                <w:sz w:val="18"/>
                <w:szCs w:val="18"/>
              </w:rPr>
            </w:pPr>
          </w:p>
        </w:tc>
        <w:tc>
          <w:tcPr>
            <w:tcW w:w="2835" w:type="dxa"/>
            <w:noWrap w:val="0"/>
            <w:vAlign w:val="center"/>
          </w:tcPr>
          <w:p w14:paraId="06D09AF7">
            <w:pPr>
              <w:spacing w:line="380" w:lineRule="exact"/>
              <w:ind w:firstLine="360" w:firstLineChars="200"/>
              <w:rPr>
                <w:rFonts w:ascii="Times New Roman" w:hAnsi="Times New Roman" w:eastAsia="宋体"/>
                <w:color w:val="auto"/>
                <w:sz w:val="18"/>
                <w:szCs w:val="18"/>
              </w:rPr>
            </w:pPr>
          </w:p>
        </w:tc>
        <w:tc>
          <w:tcPr>
            <w:tcW w:w="993" w:type="dxa"/>
            <w:noWrap w:val="0"/>
            <w:vAlign w:val="center"/>
          </w:tcPr>
          <w:p w14:paraId="6D21675E">
            <w:pPr>
              <w:jc w:val="center"/>
              <w:rPr>
                <w:rFonts w:ascii="Times New Roman" w:hAnsi="Times New Roman" w:cs="宋体"/>
                <w:color w:val="auto"/>
                <w:kern w:val="0"/>
                <w:sz w:val="18"/>
                <w:szCs w:val="18"/>
              </w:rPr>
            </w:pPr>
          </w:p>
        </w:tc>
        <w:tc>
          <w:tcPr>
            <w:tcW w:w="905" w:type="dxa"/>
            <w:noWrap w:val="0"/>
            <w:vAlign w:val="center"/>
          </w:tcPr>
          <w:p w14:paraId="18E10A8E">
            <w:pPr>
              <w:jc w:val="center"/>
              <w:rPr>
                <w:rFonts w:ascii="Times New Roman" w:hAnsi="Times New Roman" w:cs="宋体"/>
                <w:color w:val="auto"/>
                <w:kern w:val="0"/>
                <w:sz w:val="18"/>
                <w:szCs w:val="18"/>
              </w:rPr>
            </w:pPr>
          </w:p>
        </w:tc>
        <w:tc>
          <w:tcPr>
            <w:tcW w:w="1280" w:type="dxa"/>
            <w:noWrap w:val="0"/>
            <w:vAlign w:val="center"/>
          </w:tcPr>
          <w:p w14:paraId="754979E1">
            <w:pPr>
              <w:jc w:val="center"/>
              <w:rPr>
                <w:rFonts w:ascii="Times New Roman" w:hAnsi="Times New Roman" w:cs="宋体"/>
                <w:color w:val="auto"/>
                <w:kern w:val="0"/>
                <w:sz w:val="18"/>
                <w:szCs w:val="18"/>
              </w:rPr>
            </w:pPr>
          </w:p>
        </w:tc>
      </w:tr>
      <w:tr w14:paraId="7899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34B999F2">
            <w:pPr>
              <w:spacing w:line="380" w:lineRule="exact"/>
              <w:rPr>
                <w:rFonts w:ascii="Times New Roman" w:hAnsi="Times New Roman" w:eastAsia="宋体"/>
                <w:color w:val="auto"/>
                <w:sz w:val="18"/>
                <w:szCs w:val="18"/>
              </w:rPr>
            </w:pPr>
          </w:p>
        </w:tc>
        <w:tc>
          <w:tcPr>
            <w:tcW w:w="1134" w:type="dxa"/>
            <w:noWrap w:val="0"/>
            <w:vAlign w:val="center"/>
          </w:tcPr>
          <w:p w14:paraId="0E8DD975">
            <w:pPr>
              <w:jc w:val="center"/>
              <w:rPr>
                <w:rFonts w:ascii="Times New Roman" w:hAnsi="Times New Roman" w:cs="宋体"/>
                <w:color w:val="auto"/>
                <w:kern w:val="0"/>
                <w:sz w:val="18"/>
                <w:szCs w:val="18"/>
              </w:rPr>
            </w:pPr>
          </w:p>
        </w:tc>
        <w:tc>
          <w:tcPr>
            <w:tcW w:w="992" w:type="dxa"/>
            <w:noWrap w:val="0"/>
            <w:vAlign w:val="center"/>
          </w:tcPr>
          <w:p w14:paraId="221E3507">
            <w:pPr>
              <w:jc w:val="center"/>
              <w:rPr>
                <w:rFonts w:ascii="Times New Roman" w:hAnsi="Times New Roman" w:cs="宋体"/>
                <w:color w:val="auto"/>
                <w:kern w:val="0"/>
                <w:sz w:val="18"/>
                <w:szCs w:val="18"/>
              </w:rPr>
            </w:pPr>
          </w:p>
        </w:tc>
        <w:tc>
          <w:tcPr>
            <w:tcW w:w="1134" w:type="dxa"/>
            <w:noWrap w:val="0"/>
            <w:vAlign w:val="center"/>
          </w:tcPr>
          <w:p w14:paraId="0DEC1A76">
            <w:pPr>
              <w:jc w:val="center"/>
              <w:rPr>
                <w:rFonts w:ascii="Times New Roman" w:hAnsi="Times New Roman" w:cs="宋体"/>
                <w:color w:val="auto"/>
                <w:kern w:val="0"/>
                <w:sz w:val="18"/>
                <w:szCs w:val="18"/>
              </w:rPr>
            </w:pPr>
          </w:p>
        </w:tc>
        <w:tc>
          <w:tcPr>
            <w:tcW w:w="2835" w:type="dxa"/>
            <w:noWrap w:val="0"/>
            <w:vAlign w:val="center"/>
          </w:tcPr>
          <w:p w14:paraId="6569F752">
            <w:pPr>
              <w:spacing w:line="380" w:lineRule="exact"/>
              <w:ind w:firstLine="360" w:firstLineChars="200"/>
              <w:rPr>
                <w:rFonts w:ascii="Times New Roman" w:hAnsi="Times New Roman" w:eastAsia="宋体"/>
                <w:color w:val="auto"/>
                <w:sz w:val="18"/>
                <w:szCs w:val="18"/>
              </w:rPr>
            </w:pPr>
          </w:p>
        </w:tc>
        <w:tc>
          <w:tcPr>
            <w:tcW w:w="993" w:type="dxa"/>
            <w:noWrap w:val="0"/>
            <w:vAlign w:val="center"/>
          </w:tcPr>
          <w:p w14:paraId="3780B8AD">
            <w:pPr>
              <w:jc w:val="center"/>
              <w:rPr>
                <w:rFonts w:ascii="Times New Roman" w:hAnsi="Times New Roman" w:cs="宋体"/>
                <w:color w:val="auto"/>
                <w:kern w:val="0"/>
                <w:sz w:val="18"/>
                <w:szCs w:val="18"/>
              </w:rPr>
            </w:pPr>
          </w:p>
        </w:tc>
        <w:tc>
          <w:tcPr>
            <w:tcW w:w="905" w:type="dxa"/>
            <w:noWrap w:val="0"/>
            <w:vAlign w:val="center"/>
          </w:tcPr>
          <w:p w14:paraId="1C55EC6E">
            <w:pPr>
              <w:jc w:val="center"/>
              <w:rPr>
                <w:rFonts w:ascii="Times New Roman" w:hAnsi="Times New Roman" w:cs="宋体"/>
                <w:color w:val="auto"/>
                <w:kern w:val="0"/>
                <w:sz w:val="18"/>
                <w:szCs w:val="18"/>
              </w:rPr>
            </w:pPr>
          </w:p>
        </w:tc>
        <w:tc>
          <w:tcPr>
            <w:tcW w:w="1280" w:type="dxa"/>
            <w:noWrap w:val="0"/>
            <w:vAlign w:val="center"/>
          </w:tcPr>
          <w:p w14:paraId="3C3098E0">
            <w:pPr>
              <w:jc w:val="center"/>
              <w:rPr>
                <w:rFonts w:ascii="Times New Roman" w:hAnsi="Times New Roman" w:cs="宋体"/>
                <w:color w:val="auto"/>
                <w:kern w:val="0"/>
                <w:sz w:val="18"/>
                <w:szCs w:val="18"/>
              </w:rPr>
            </w:pPr>
          </w:p>
        </w:tc>
      </w:tr>
      <w:tr w14:paraId="5268C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206FAB01">
            <w:pPr>
              <w:spacing w:line="380" w:lineRule="exact"/>
              <w:rPr>
                <w:rFonts w:ascii="Times New Roman" w:hAnsi="Times New Roman" w:eastAsia="宋体"/>
                <w:color w:val="auto"/>
                <w:sz w:val="18"/>
                <w:szCs w:val="18"/>
              </w:rPr>
            </w:pPr>
          </w:p>
        </w:tc>
        <w:tc>
          <w:tcPr>
            <w:tcW w:w="1134" w:type="dxa"/>
            <w:noWrap w:val="0"/>
            <w:vAlign w:val="center"/>
          </w:tcPr>
          <w:p w14:paraId="5AAD755B">
            <w:pPr>
              <w:jc w:val="center"/>
              <w:rPr>
                <w:rFonts w:ascii="Times New Roman" w:hAnsi="Times New Roman" w:cs="宋体"/>
                <w:color w:val="auto"/>
                <w:kern w:val="0"/>
                <w:sz w:val="18"/>
                <w:szCs w:val="18"/>
              </w:rPr>
            </w:pPr>
          </w:p>
        </w:tc>
        <w:tc>
          <w:tcPr>
            <w:tcW w:w="992" w:type="dxa"/>
            <w:noWrap w:val="0"/>
            <w:vAlign w:val="center"/>
          </w:tcPr>
          <w:p w14:paraId="047D20EA">
            <w:pPr>
              <w:jc w:val="center"/>
              <w:rPr>
                <w:rFonts w:ascii="Times New Roman" w:hAnsi="Times New Roman" w:cs="宋体"/>
                <w:color w:val="auto"/>
                <w:kern w:val="0"/>
                <w:sz w:val="18"/>
                <w:szCs w:val="18"/>
              </w:rPr>
            </w:pPr>
          </w:p>
        </w:tc>
        <w:tc>
          <w:tcPr>
            <w:tcW w:w="1134" w:type="dxa"/>
            <w:noWrap w:val="0"/>
            <w:vAlign w:val="center"/>
          </w:tcPr>
          <w:p w14:paraId="506F2E3C">
            <w:pPr>
              <w:jc w:val="center"/>
              <w:rPr>
                <w:rFonts w:ascii="Times New Roman" w:hAnsi="Times New Roman" w:cs="宋体"/>
                <w:color w:val="auto"/>
                <w:kern w:val="0"/>
                <w:sz w:val="18"/>
                <w:szCs w:val="18"/>
              </w:rPr>
            </w:pPr>
          </w:p>
        </w:tc>
        <w:tc>
          <w:tcPr>
            <w:tcW w:w="2835" w:type="dxa"/>
            <w:noWrap w:val="0"/>
            <w:vAlign w:val="center"/>
          </w:tcPr>
          <w:p w14:paraId="2A05C0FB">
            <w:pPr>
              <w:spacing w:line="380" w:lineRule="exact"/>
              <w:rPr>
                <w:rFonts w:ascii="Times New Roman" w:hAnsi="Times New Roman" w:eastAsia="宋体"/>
                <w:color w:val="auto"/>
                <w:sz w:val="18"/>
                <w:szCs w:val="18"/>
              </w:rPr>
            </w:pPr>
          </w:p>
        </w:tc>
        <w:tc>
          <w:tcPr>
            <w:tcW w:w="993" w:type="dxa"/>
            <w:noWrap w:val="0"/>
            <w:vAlign w:val="center"/>
          </w:tcPr>
          <w:p w14:paraId="0491DBC2">
            <w:pPr>
              <w:jc w:val="center"/>
              <w:rPr>
                <w:rFonts w:ascii="Times New Roman" w:hAnsi="Times New Roman" w:cs="宋体"/>
                <w:color w:val="auto"/>
                <w:kern w:val="0"/>
                <w:sz w:val="18"/>
                <w:szCs w:val="18"/>
              </w:rPr>
            </w:pPr>
          </w:p>
        </w:tc>
        <w:tc>
          <w:tcPr>
            <w:tcW w:w="905" w:type="dxa"/>
            <w:noWrap w:val="0"/>
            <w:vAlign w:val="center"/>
          </w:tcPr>
          <w:p w14:paraId="0F7FEF48">
            <w:pPr>
              <w:jc w:val="center"/>
              <w:rPr>
                <w:rFonts w:ascii="Times New Roman" w:hAnsi="Times New Roman" w:cs="宋体"/>
                <w:color w:val="auto"/>
                <w:kern w:val="0"/>
                <w:sz w:val="18"/>
                <w:szCs w:val="18"/>
              </w:rPr>
            </w:pPr>
          </w:p>
        </w:tc>
        <w:tc>
          <w:tcPr>
            <w:tcW w:w="1280" w:type="dxa"/>
            <w:noWrap w:val="0"/>
            <w:vAlign w:val="center"/>
          </w:tcPr>
          <w:p w14:paraId="20DF27A0">
            <w:pPr>
              <w:jc w:val="center"/>
              <w:rPr>
                <w:rFonts w:ascii="Times New Roman" w:hAnsi="Times New Roman" w:cs="宋体"/>
                <w:color w:val="auto"/>
                <w:kern w:val="0"/>
                <w:sz w:val="18"/>
                <w:szCs w:val="18"/>
              </w:rPr>
            </w:pPr>
          </w:p>
        </w:tc>
      </w:tr>
      <w:tr w14:paraId="606ED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19C30571">
            <w:pPr>
              <w:spacing w:line="380" w:lineRule="exact"/>
              <w:rPr>
                <w:rFonts w:ascii="Times New Roman" w:hAnsi="Times New Roman" w:eastAsia="宋体"/>
                <w:color w:val="auto"/>
                <w:sz w:val="18"/>
                <w:szCs w:val="18"/>
              </w:rPr>
            </w:pPr>
          </w:p>
        </w:tc>
        <w:tc>
          <w:tcPr>
            <w:tcW w:w="1134" w:type="dxa"/>
            <w:noWrap w:val="0"/>
            <w:vAlign w:val="center"/>
          </w:tcPr>
          <w:p w14:paraId="2BFDF184">
            <w:pPr>
              <w:jc w:val="center"/>
              <w:rPr>
                <w:rFonts w:ascii="Times New Roman" w:hAnsi="Times New Roman" w:cs="宋体"/>
                <w:color w:val="auto"/>
                <w:kern w:val="0"/>
                <w:sz w:val="18"/>
                <w:szCs w:val="18"/>
              </w:rPr>
            </w:pPr>
          </w:p>
        </w:tc>
        <w:tc>
          <w:tcPr>
            <w:tcW w:w="992" w:type="dxa"/>
            <w:noWrap w:val="0"/>
            <w:vAlign w:val="center"/>
          </w:tcPr>
          <w:p w14:paraId="547B0FF7">
            <w:pPr>
              <w:jc w:val="center"/>
              <w:rPr>
                <w:rFonts w:ascii="Times New Roman" w:hAnsi="Times New Roman" w:cs="宋体"/>
                <w:color w:val="auto"/>
                <w:kern w:val="0"/>
                <w:sz w:val="18"/>
                <w:szCs w:val="18"/>
              </w:rPr>
            </w:pPr>
          </w:p>
        </w:tc>
        <w:tc>
          <w:tcPr>
            <w:tcW w:w="1134" w:type="dxa"/>
            <w:noWrap w:val="0"/>
            <w:vAlign w:val="center"/>
          </w:tcPr>
          <w:p w14:paraId="3DDB900B">
            <w:pPr>
              <w:jc w:val="center"/>
              <w:rPr>
                <w:rFonts w:ascii="Times New Roman" w:hAnsi="Times New Roman" w:cs="宋体"/>
                <w:color w:val="auto"/>
                <w:kern w:val="0"/>
                <w:sz w:val="18"/>
                <w:szCs w:val="18"/>
              </w:rPr>
            </w:pPr>
          </w:p>
        </w:tc>
        <w:tc>
          <w:tcPr>
            <w:tcW w:w="2835" w:type="dxa"/>
            <w:noWrap w:val="0"/>
            <w:vAlign w:val="center"/>
          </w:tcPr>
          <w:p w14:paraId="715913A3">
            <w:pPr>
              <w:spacing w:line="380" w:lineRule="exact"/>
              <w:rPr>
                <w:rFonts w:ascii="Times New Roman" w:hAnsi="Times New Roman" w:eastAsia="宋体"/>
                <w:color w:val="auto"/>
                <w:sz w:val="18"/>
                <w:szCs w:val="18"/>
              </w:rPr>
            </w:pPr>
          </w:p>
        </w:tc>
        <w:tc>
          <w:tcPr>
            <w:tcW w:w="993" w:type="dxa"/>
            <w:noWrap w:val="0"/>
            <w:vAlign w:val="center"/>
          </w:tcPr>
          <w:p w14:paraId="1C50FD7C">
            <w:pPr>
              <w:jc w:val="center"/>
              <w:rPr>
                <w:rFonts w:ascii="Times New Roman" w:hAnsi="Times New Roman" w:cs="宋体"/>
                <w:color w:val="auto"/>
                <w:kern w:val="0"/>
                <w:sz w:val="18"/>
                <w:szCs w:val="18"/>
              </w:rPr>
            </w:pPr>
          </w:p>
        </w:tc>
        <w:tc>
          <w:tcPr>
            <w:tcW w:w="905" w:type="dxa"/>
            <w:noWrap w:val="0"/>
            <w:vAlign w:val="center"/>
          </w:tcPr>
          <w:p w14:paraId="113D7C58">
            <w:pPr>
              <w:jc w:val="center"/>
              <w:rPr>
                <w:rFonts w:ascii="Times New Roman" w:hAnsi="Times New Roman" w:cs="宋体"/>
                <w:color w:val="auto"/>
                <w:kern w:val="0"/>
                <w:sz w:val="18"/>
                <w:szCs w:val="18"/>
              </w:rPr>
            </w:pPr>
          </w:p>
        </w:tc>
        <w:tc>
          <w:tcPr>
            <w:tcW w:w="1280" w:type="dxa"/>
            <w:noWrap w:val="0"/>
            <w:vAlign w:val="center"/>
          </w:tcPr>
          <w:p w14:paraId="7B6B3071">
            <w:pPr>
              <w:jc w:val="center"/>
              <w:rPr>
                <w:rFonts w:ascii="Times New Roman" w:hAnsi="Times New Roman" w:cs="宋体"/>
                <w:color w:val="auto"/>
                <w:kern w:val="0"/>
                <w:sz w:val="18"/>
                <w:szCs w:val="18"/>
              </w:rPr>
            </w:pPr>
          </w:p>
        </w:tc>
      </w:tr>
      <w:tr w14:paraId="28047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6" w:type="dxa"/>
            <w:noWrap w:val="0"/>
            <w:vAlign w:val="center"/>
          </w:tcPr>
          <w:p w14:paraId="6050DE7E">
            <w:pPr>
              <w:spacing w:line="380" w:lineRule="exact"/>
              <w:jc w:val="center"/>
              <w:rPr>
                <w:rFonts w:ascii="Times New Roman" w:hAnsi="Times New Roman" w:eastAsia="宋体"/>
                <w:color w:val="auto"/>
                <w:sz w:val="18"/>
                <w:szCs w:val="18"/>
              </w:rPr>
            </w:pPr>
          </w:p>
        </w:tc>
        <w:tc>
          <w:tcPr>
            <w:tcW w:w="1134" w:type="dxa"/>
            <w:noWrap w:val="0"/>
            <w:vAlign w:val="center"/>
          </w:tcPr>
          <w:p w14:paraId="55536F87">
            <w:pPr>
              <w:jc w:val="center"/>
              <w:rPr>
                <w:rFonts w:ascii="Times New Roman" w:hAnsi="Times New Roman" w:cs="宋体"/>
                <w:color w:val="auto"/>
                <w:kern w:val="0"/>
                <w:sz w:val="18"/>
                <w:szCs w:val="18"/>
              </w:rPr>
            </w:pPr>
          </w:p>
        </w:tc>
        <w:tc>
          <w:tcPr>
            <w:tcW w:w="992" w:type="dxa"/>
            <w:noWrap w:val="0"/>
            <w:vAlign w:val="center"/>
          </w:tcPr>
          <w:p w14:paraId="65EEF806">
            <w:pPr>
              <w:jc w:val="center"/>
              <w:rPr>
                <w:rFonts w:ascii="Times New Roman" w:hAnsi="Times New Roman" w:cs="宋体"/>
                <w:color w:val="auto"/>
                <w:kern w:val="0"/>
                <w:sz w:val="18"/>
                <w:szCs w:val="18"/>
              </w:rPr>
            </w:pPr>
          </w:p>
        </w:tc>
        <w:tc>
          <w:tcPr>
            <w:tcW w:w="1134" w:type="dxa"/>
            <w:noWrap w:val="0"/>
            <w:vAlign w:val="center"/>
          </w:tcPr>
          <w:p w14:paraId="613CBFFB">
            <w:pPr>
              <w:ind w:right="120"/>
              <w:jc w:val="center"/>
              <w:rPr>
                <w:rFonts w:ascii="Times New Roman" w:hAnsi="Times New Roman" w:cs="宋体"/>
                <w:color w:val="auto"/>
                <w:kern w:val="0"/>
                <w:sz w:val="18"/>
                <w:szCs w:val="18"/>
              </w:rPr>
            </w:pPr>
          </w:p>
        </w:tc>
        <w:tc>
          <w:tcPr>
            <w:tcW w:w="2835" w:type="dxa"/>
            <w:noWrap w:val="0"/>
            <w:vAlign w:val="center"/>
          </w:tcPr>
          <w:p w14:paraId="4CADBF07">
            <w:pPr>
              <w:spacing w:line="380" w:lineRule="exact"/>
              <w:jc w:val="center"/>
              <w:rPr>
                <w:rFonts w:ascii="Times New Roman" w:hAnsi="Times New Roman" w:eastAsia="宋体"/>
                <w:color w:val="auto"/>
                <w:sz w:val="18"/>
                <w:szCs w:val="18"/>
              </w:rPr>
            </w:pPr>
          </w:p>
        </w:tc>
        <w:tc>
          <w:tcPr>
            <w:tcW w:w="993" w:type="dxa"/>
            <w:noWrap w:val="0"/>
            <w:vAlign w:val="center"/>
          </w:tcPr>
          <w:p w14:paraId="4F4261B6">
            <w:pPr>
              <w:jc w:val="center"/>
              <w:rPr>
                <w:rFonts w:ascii="Times New Roman" w:hAnsi="Times New Roman" w:cs="宋体"/>
                <w:color w:val="auto"/>
                <w:kern w:val="0"/>
                <w:sz w:val="18"/>
                <w:szCs w:val="18"/>
              </w:rPr>
            </w:pPr>
          </w:p>
        </w:tc>
        <w:tc>
          <w:tcPr>
            <w:tcW w:w="905" w:type="dxa"/>
            <w:noWrap w:val="0"/>
            <w:vAlign w:val="center"/>
          </w:tcPr>
          <w:p w14:paraId="5E2460AA">
            <w:pPr>
              <w:jc w:val="center"/>
              <w:rPr>
                <w:rFonts w:ascii="Times New Roman" w:hAnsi="Times New Roman" w:cs="宋体"/>
                <w:color w:val="auto"/>
                <w:kern w:val="0"/>
                <w:sz w:val="18"/>
                <w:szCs w:val="18"/>
              </w:rPr>
            </w:pPr>
          </w:p>
        </w:tc>
        <w:tc>
          <w:tcPr>
            <w:tcW w:w="1280" w:type="dxa"/>
            <w:noWrap w:val="0"/>
            <w:vAlign w:val="center"/>
          </w:tcPr>
          <w:p w14:paraId="225C399B">
            <w:pPr>
              <w:jc w:val="center"/>
              <w:rPr>
                <w:rFonts w:ascii="Times New Roman" w:hAnsi="Times New Roman" w:cs="宋体"/>
                <w:color w:val="auto"/>
                <w:kern w:val="0"/>
                <w:sz w:val="18"/>
                <w:szCs w:val="18"/>
              </w:rPr>
            </w:pPr>
          </w:p>
        </w:tc>
      </w:tr>
    </w:tbl>
    <w:p w14:paraId="2A4387DB">
      <w:pPr>
        <w:rPr>
          <w:rFonts w:hint="eastAsia"/>
          <w:lang w:val="en-US" w:eastAsia="zh-CN"/>
        </w:rPr>
      </w:pPr>
    </w:p>
    <w:sectPr>
      <w:pgSz w:w="16838" w:h="11906" w:orient="landscape"/>
      <w:pgMar w:top="1474" w:right="2098" w:bottom="1587" w:left="198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BE5CD">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01B1F0">
                          <w:pPr>
                            <w:pStyle w:val="5"/>
                            <w:keepNext w:val="0"/>
                            <w:keepLines w:val="0"/>
                            <w:pageBreakBefore w:val="0"/>
                            <w:widowControl w:val="0"/>
                            <w:kinsoku/>
                            <w:wordWrap/>
                            <w:overflowPunct/>
                            <w:topLinePunct w:val="0"/>
                            <w:bidi w:val="0"/>
                            <w:adjustRightInd/>
                            <w:snapToGrid w:val="0"/>
                            <w:ind w:left="420" w:leftChars="200" w:right="420" w:right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401B1F0">
                    <w:pPr>
                      <w:pStyle w:val="5"/>
                      <w:keepNext w:val="0"/>
                      <w:keepLines w:val="0"/>
                      <w:pageBreakBefore w:val="0"/>
                      <w:widowControl w:val="0"/>
                      <w:kinsoku/>
                      <w:wordWrap/>
                      <w:overflowPunct/>
                      <w:topLinePunct w:val="0"/>
                      <w:bidi w:val="0"/>
                      <w:adjustRightInd/>
                      <w:snapToGrid w:val="0"/>
                      <w:ind w:left="420" w:leftChars="200" w:right="420" w:right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5611DE"/>
    <w:rsid w:val="046011F8"/>
    <w:rsid w:val="054F5218"/>
    <w:rsid w:val="06585149"/>
    <w:rsid w:val="08EB0294"/>
    <w:rsid w:val="0AB621EA"/>
    <w:rsid w:val="0E606E70"/>
    <w:rsid w:val="12A54F01"/>
    <w:rsid w:val="17CB283F"/>
    <w:rsid w:val="195707A8"/>
    <w:rsid w:val="1FBA5176"/>
    <w:rsid w:val="2CDA72A5"/>
    <w:rsid w:val="2DA04F66"/>
    <w:rsid w:val="2E342942"/>
    <w:rsid w:val="3095696B"/>
    <w:rsid w:val="375D5972"/>
    <w:rsid w:val="37BF35C7"/>
    <w:rsid w:val="3AFD3B2E"/>
    <w:rsid w:val="3F5A2983"/>
    <w:rsid w:val="44E97F1E"/>
    <w:rsid w:val="48592D72"/>
    <w:rsid w:val="495611DE"/>
    <w:rsid w:val="498947D8"/>
    <w:rsid w:val="4B14683F"/>
    <w:rsid w:val="4CEC7131"/>
    <w:rsid w:val="6E516C11"/>
    <w:rsid w:val="71247881"/>
    <w:rsid w:val="72E25F9B"/>
    <w:rsid w:val="74F37BB0"/>
    <w:rsid w:val="75347F41"/>
    <w:rsid w:val="758D616C"/>
    <w:rsid w:val="75A60FBA"/>
    <w:rsid w:val="7D961409"/>
    <w:rsid w:val="7F081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left="0" w:leftChars="0" w:firstLine="640" w:firstLineChars="200"/>
    </w:pPr>
    <w:rPr>
      <w:rFonts w:eastAsia="仿宋_GB2312"/>
      <w:sz w:val="32"/>
    </w:rPr>
  </w:style>
  <w:style w:type="paragraph" w:styleId="3">
    <w:name w:val="Body Text Indent"/>
    <w:basedOn w:val="1"/>
    <w:next w:val="2"/>
    <w:qFormat/>
    <w:uiPriority w:val="99"/>
    <w:pPr>
      <w:ind w:left="420" w:leftChars="200"/>
    </w:pPr>
    <w:rPr>
      <w:rFonts w:ascii="Times New Roman" w:hAnsi="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0">
    <w:name w:val="纯文本1"/>
    <w:basedOn w:val="1"/>
    <w:qFormat/>
    <w:uiPriority w:val="99"/>
    <w:rPr>
      <w:rFonts w:ascii="宋体" w:hAnsi="Courier New" w:cs="Courier New"/>
    </w:rPr>
  </w:style>
  <w:style w:type="paragraph" w:customStyle="1" w:styleId="11">
    <w:name w:val="样式1"/>
    <w:basedOn w:val="1"/>
    <w:qFormat/>
    <w:uiPriority w:val="0"/>
    <w:pPr>
      <w:spacing w:line="560" w:lineRule="exact"/>
      <w:ind w:firstLine="640" w:firstLineChars="200"/>
    </w:pPr>
    <w:rPr>
      <w:rFonts w:hint="eastAsia" w:ascii="仿宋_GB2312" w:hAnsi="仿宋_GB2312" w:eastAsia="仿宋_GB2312" w:cs="仿宋_GB2312"/>
      <w:sz w:val="32"/>
      <w:szCs w:val="32"/>
    </w:rPr>
  </w:style>
  <w:style w:type="paragraph" w:customStyle="1" w:styleId="12">
    <w:name w:val="Body Text First Indent 21"/>
    <w:basedOn w:val="13"/>
    <w:qFormat/>
    <w:uiPriority w:val="0"/>
    <w:pPr>
      <w:ind w:left="0" w:firstLine="420"/>
    </w:pPr>
    <w:rPr>
      <w:rFonts w:ascii="仿宋_GB2312" w:eastAsia="仿宋_GB2312"/>
      <w:sz w:val="32"/>
    </w:rPr>
  </w:style>
  <w:style w:type="paragraph" w:customStyle="1" w:styleId="13">
    <w:name w:val="Body Text Indent1"/>
    <w:basedOn w:val="1"/>
    <w:qFormat/>
    <w:uiPriority w:val="0"/>
    <w:pPr>
      <w:ind w:left="420" w:leftChars="200"/>
    </w:pPr>
    <w:rPr>
      <w:rFonts w:hint="eastAsia" w:ascii="Times New Roman" w:hAnsi="Times New Roman"/>
    </w:rPr>
  </w:style>
  <w:style w:type="character" w:customStyle="1" w:styleId="14">
    <w:name w:val="font21"/>
    <w:basedOn w:val="9"/>
    <w:qFormat/>
    <w:uiPriority w:val="0"/>
    <w:rPr>
      <w:rFonts w:hint="eastAsia" w:ascii="宋体" w:hAnsi="宋体" w:eastAsia="宋体" w:cs="宋体"/>
      <w:color w:val="000000"/>
      <w:sz w:val="18"/>
      <w:szCs w:val="18"/>
      <w:u w:val="none"/>
    </w:rPr>
  </w:style>
  <w:style w:type="character" w:customStyle="1" w:styleId="15">
    <w:name w:val="font31"/>
    <w:basedOn w:val="9"/>
    <w:qFormat/>
    <w:uiPriority w:val="0"/>
    <w:rPr>
      <w:rFonts w:hint="eastAsia" w:ascii="宋体" w:hAnsi="宋体" w:eastAsia="宋体" w:cs="宋体"/>
      <w:color w:val="000000"/>
      <w:sz w:val="18"/>
      <w:szCs w:val="18"/>
      <w:u w:val="none"/>
    </w:rPr>
  </w:style>
  <w:style w:type="character" w:customStyle="1" w:styleId="16">
    <w:name w:val="font51"/>
    <w:basedOn w:val="9"/>
    <w:qFormat/>
    <w:uiPriority w:val="0"/>
    <w:rPr>
      <w:rFonts w:ascii="Calibri" w:hAnsi="Calibri" w:cs="Calibri"/>
      <w:color w:val="000000"/>
      <w:sz w:val="20"/>
      <w:szCs w:val="20"/>
      <w:u w:val="none"/>
    </w:rPr>
  </w:style>
  <w:style w:type="character" w:customStyle="1" w:styleId="17">
    <w:name w:val="font41"/>
    <w:basedOn w:val="9"/>
    <w:qFormat/>
    <w:uiPriority w:val="0"/>
    <w:rPr>
      <w:rFonts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36908236-ce6e-4527-bfc4-9fcfaa9b1e8f</errorID>
      <errorWord>子归</errorWord>
      <group>L1_Word</group>
      <groupName>字词问题</groupName>
      <ability>L2_Typo</ability>
      <abilityName>字词错误</abilityName>
      <candidateList>
        <item>秭归</item>
      </candidateList>
      <explain>存在发音相同字词的误用。</explain>
      <paraID>2EEA511C</paraID>
      <start>235</start>
      <end>237</end>
      <status>ignored</status>
      <modifiedWord/>
      <trackRevisions>false</trackRevisions>
    </reviewItem>
    <reviewItem>
      <errorID>cd43fd15-74e6-4d77-8133-e195c84328d7</errorID>
      <errorWord>有力支持了</errorWord>
      <group>L1_Word</group>
      <groupName>字词问题</groupName>
      <ability>L2_Typo</ability>
      <abilityName>字词错误</abilityName>
      <candidateList>
        <item>有力地支持了</item>
      </candidateList>
      <explain/>
      <paraID>38B361C4</paraID>
      <start>38</start>
      <end>44</end>
      <status>modified</status>
      <modifiedWord>有力地支持了</modifiedWord>
      <trackRevisions>false</trackRevisions>
    </reviewItem>
    <reviewItem>
      <errorID>0281aef7-599e-4862-b92f-21c0c4d29a22</errorID>
      <errorWord>、还</errorWord>
      <group>L1_Punc</group>
      <groupName>标点问题</groupName>
      <ability>L2_Punc</ability>
      <abilityName>标点符号检查</abilityName>
      <candidateList>
        <item>，还</item>
      </candidateList>
      <explain>连接词前后不宜使用顿号，建议使用逗号。</explain>
      <paraID>3BC23D48</paraID>
      <start>233</start>
      <end>235</end>
      <status>ignored</status>
      <modifiedWord/>
      <trackRevisions>false</trackRevisions>
    </reviewItem>
    <reviewItem>
      <errorID>8290a3ba-950f-41b0-b7bb-9ca51ddda074</errorID>
      <errorWord>(</errorWord>
      <group>L1_Format</group>
      <groupName>格式问题</groupName>
      <ability>L2_HalfPunc</ability>
      <abilityName>全半角检查</abilityName>
      <candidateList>
        <item>（</item>
      </candidateList>
      <explain>文本全半角错误。</explain>
      <paraID>249D397F</paraID>
      <start>8</start>
      <end>9</end>
      <status>modified</status>
      <modifiedWord>（</modifiedWord>
      <trackRevisions>false</trackRevisions>
    </reviewItem>
    <reviewItem>
      <errorID>49ffe63f-fdb1-48b0-ae42-597cc50f990d</errorID>
      <errorWord>)</errorWord>
      <group>L1_Format</group>
      <groupName>格式问题</groupName>
      <ability>L2_HalfPunc</ability>
      <abilityName>全半角检查</abilityName>
      <candidateList>
        <item>）</item>
      </candidateList>
      <explain>文本全半角错误。</explain>
      <paraID>249D397F</paraID>
      <start>14</start>
      <end>15</end>
      <status>modified</status>
      <modifiedWord>）</modifiedWord>
      <trackRevisions>false</trackRevisions>
    </reviewItem>
    <reviewItem>
      <errorID>bd9c2be3-e0fd-4694-baa1-06899e33a661</errorID>
      <errorWord>(</errorWord>
      <group>L1_Format</group>
      <groupName>格式问题</groupName>
      <ability>L2_HalfPunc</ability>
      <abilityName>全半角检查</abilityName>
      <candidateList>
        <item>（</item>
      </candidateList>
      <explain>文本全半角错误。</explain>
      <paraID>450FAD74</paraID>
      <start>8</start>
      <end>9</end>
      <status>modified</status>
      <modifiedWord>（</modifiedWord>
      <trackRevisions>false</trackRevisions>
    </reviewItem>
    <reviewItem>
      <errorID>d756e924-da70-46eb-8e10-36d70bf5bbe8</errorID>
      <errorWord>)</errorWord>
      <group>L1_Format</group>
      <groupName>格式问题</groupName>
      <ability>L2_HalfPunc</ability>
      <abilityName>全半角检查</abilityName>
      <candidateList>
        <item>）</item>
      </candidateList>
      <explain>文本全半角错误。</explain>
      <paraID>450FAD74</paraID>
      <start>14</start>
      <end>15</end>
      <status>modified</status>
      <modifiedWord>）</modifiedWord>
      <trackRevisions>false</trackRevisions>
    </reviewItem>
    <reviewItem>
      <errorID>231e4999-a3f9-4458-be8c-03b870e8e5fd</errorID>
      <errorWord>(</errorWord>
      <group>L1_Format</group>
      <groupName>格式问题</groupName>
      <ability>L2_HalfPunc</ability>
      <abilityName>全半角检查</abilityName>
      <candidateList>
        <item>（</item>
      </candidateList>
      <explain>文本全半角错误。</explain>
      <paraID>535937C2</paraID>
      <start>8</start>
      <end>9</end>
      <status>modified</status>
      <modifiedWord>（</modifiedWord>
      <trackRevisions>false</trackRevisions>
    </reviewItem>
    <reviewItem>
      <errorID>46b29bcf-f4e5-4073-bb76-2b1971718bd6</errorID>
      <errorWord>)</errorWord>
      <group>L1_Format</group>
      <groupName>格式问题</groupName>
      <ability>L2_HalfPunc</ability>
      <abilityName>全半角检查</abilityName>
      <candidateList>
        <item>）</item>
      </candidateList>
      <explain>文本全半角错误。</explain>
      <paraID>535937C2</paraID>
      <start>14</start>
      <end>15</end>
      <status>modified</status>
      <modifiedWord>）</modifiedWord>
      <trackRevisions>false</trackRevisions>
    </reviewItem>
    <reviewItem>
      <errorID>c10fd5b3-c3fe-4304-b5e2-f2c34f09c007</errorID>
      <errorWord>(</errorWord>
      <group>L1_Format</group>
      <groupName>格式问题</groupName>
      <ability>L2_HalfPunc</ability>
      <abilityName>全半角检查</abilityName>
      <candidateList>
        <item>（</item>
      </candidateList>
      <explain>文本全半角错误。</explain>
      <paraID>7D050D9A</paraID>
      <start>8</start>
      <end>9</end>
      <status>modified</status>
      <modifiedWord>（</modifiedWord>
      <trackRevisions>false</trackRevisions>
    </reviewItem>
    <reviewItem>
      <errorID>a4b28947-de83-49a8-922b-eb6cca914856</errorID>
      <errorWord>)</errorWord>
      <group>L1_Format</group>
      <groupName>格式问题</groupName>
      <ability>L2_HalfPunc</ability>
      <abilityName>全半角检查</abilityName>
      <candidateList>
        <item>）</item>
      </candidateList>
      <explain>文本全半角错误。</explain>
      <paraID>7D050D9A</paraID>
      <start>14</start>
      <end>15</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447ccd-3d72-4ad2-8411-494e9cdff5d2}">
  <ds:schemaRefs/>
</ds:datastoreItem>
</file>

<file path=docProps/app.xml><?xml version="1.0" encoding="utf-8"?>
<Properties xmlns="http://schemas.openxmlformats.org/officeDocument/2006/extended-properties" xmlns:vt="http://schemas.openxmlformats.org/officeDocument/2006/docPropsVTypes">
  <Template>Normal.dotm</Template>
  <Pages>23</Pages>
  <Words>6959</Words>
  <Characters>7816</Characters>
  <Lines>0</Lines>
  <Paragraphs>0</Paragraphs>
  <TotalTime>38</TotalTime>
  <ScaleCrop>false</ScaleCrop>
  <LinksUpToDate>false</LinksUpToDate>
  <CharactersWithSpaces>7887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2025-07-22T06:31:00Z</dcterms:created>
  <dc:creator>Administrator</dc:creator>
  <cp:lastModifiedBy>ㄩéαη</cp:lastModifiedBy>
  <cp:lastPrinted>2025-07-27T07:16:00Z</cp:lastPrinted>
  <dcterms:modified xsi:type="dcterms:W3CDTF">2025-11-05T03:30:30Z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CEF05AAC97F34C6DA42499844C063FC5_13</vt:lpwstr>
  </property>
  <property fmtid="{D5CDD505-2E9C-101B-9397-08002B2CF9AE}" pid="4" name="KSOTemplateDocerSaveRecord">
    <vt:lpwstr>eyJoZGlkIjoiZjVkYWQ4MTcyNDcxMjc4MzdhZDc2Y2Q1YjEyMTM1NWEiLCJ1c2VySWQiOiIzNzUyMzIxMTcifQ==</vt:lpwstr>
  </property>
</Properties>
</file>