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560" w:lineRule="exact"/>
        <w:jc w:val="center"/>
        <w:rPr>
          <w:rFonts w:ascii="方正小标宋简体" w:hAnsi="黑体" w:eastAsia="方正小标宋简体"/>
          <w:color w:val="auto"/>
          <w:sz w:val="44"/>
          <w:szCs w:val="44"/>
          <w:highlight w:val="none"/>
        </w:rPr>
      </w:pPr>
      <w:r>
        <w:rPr>
          <w:rFonts w:hint="eastAsia" w:ascii="方正小标宋简体" w:hAnsi="黑体" w:eastAsia="方正小标宋简体"/>
          <w:color w:val="auto"/>
          <w:sz w:val="44"/>
          <w:szCs w:val="44"/>
          <w:highlight w:val="none"/>
        </w:rPr>
        <w:t>关于秭归县202</w:t>
      </w:r>
      <w:r>
        <w:rPr>
          <w:rFonts w:hint="eastAsia" w:ascii="方正小标宋简体" w:hAnsi="黑体" w:eastAsia="方正小标宋简体"/>
          <w:color w:val="auto"/>
          <w:sz w:val="44"/>
          <w:szCs w:val="44"/>
          <w:highlight w:val="none"/>
          <w:lang w:val="en-US" w:eastAsia="zh-CN"/>
        </w:rPr>
        <w:t>1</w:t>
      </w:r>
      <w:r>
        <w:rPr>
          <w:rFonts w:hint="eastAsia" w:ascii="方正小标宋简体" w:hAnsi="黑体" w:eastAsia="方正小标宋简体"/>
          <w:color w:val="auto"/>
          <w:sz w:val="44"/>
          <w:szCs w:val="44"/>
          <w:highlight w:val="none"/>
        </w:rPr>
        <w:t>年预算执行情况</w:t>
      </w:r>
    </w:p>
    <w:p>
      <w:pPr>
        <w:keepNext w:val="0"/>
        <w:keepLines w:val="0"/>
        <w:pageBreakBefore w:val="0"/>
        <w:kinsoku/>
        <w:wordWrap/>
        <w:overflowPunct/>
        <w:topLinePunct w:val="0"/>
        <w:autoSpaceDE/>
        <w:autoSpaceDN/>
        <w:bidi w:val="0"/>
        <w:snapToGrid w:val="0"/>
        <w:spacing w:line="560" w:lineRule="exact"/>
        <w:jc w:val="center"/>
        <w:rPr>
          <w:rFonts w:ascii="方正小标宋简体" w:hAnsi="黑体" w:eastAsia="方正小标宋简体"/>
          <w:color w:val="auto"/>
          <w:sz w:val="44"/>
          <w:szCs w:val="44"/>
          <w:highlight w:val="none"/>
        </w:rPr>
      </w:pPr>
      <w:r>
        <w:rPr>
          <w:rFonts w:hint="eastAsia" w:ascii="方正小标宋简体" w:hAnsi="黑体" w:eastAsia="方正小标宋简体"/>
          <w:color w:val="auto"/>
          <w:sz w:val="44"/>
          <w:szCs w:val="44"/>
          <w:highlight w:val="none"/>
        </w:rPr>
        <w:t>和202</w:t>
      </w:r>
      <w:r>
        <w:rPr>
          <w:rFonts w:hint="eastAsia" w:ascii="方正小标宋简体" w:hAnsi="黑体" w:eastAsia="方正小标宋简体"/>
          <w:color w:val="auto"/>
          <w:sz w:val="44"/>
          <w:szCs w:val="44"/>
          <w:highlight w:val="none"/>
          <w:lang w:val="en-US" w:eastAsia="zh-CN"/>
        </w:rPr>
        <w:t>2</w:t>
      </w:r>
      <w:r>
        <w:rPr>
          <w:rFonts w:hint="eastAsia" w:ascii="方正小标宋简体" w:hAnsi="黑体" w:eastAsia="方正小标宋简体"/>
          <w:color w:val="auto"/>
          <w:sz w:val="44"/>
          <w:szCs w:val="44"/>
          <w:highlight w:val="none"/>
        </w:rPr>
        <w:t>年预算草案的报告</w:t>
      </w:r>
    </w:p>
    <w:p>
      <w:pPr>
        <w:keepNext w:val="0"/>
        <w:keepLines w:val="0"/>
        <w:pageBreakBefore w:val="0"/>
        <w:kinsoku/>
        <w:wordWrap/>
        <w:overflowPunct/>
        <w:topLinePunct w:val="0"/>
        <w:autoSpaceDE/>
        <w:autoSpaceDN/>
        <w:bidi w:val="0"/>
        <w:snapToGrid w:val="0"/>
        <w:spacing w:line="560" w:lineRule="exact"/>
        <w:jc w:val="center"/>
        <w:rPr>
          <w:rFonts w:ascii="楷体" w:hAnsi="楷体" w:eastAsia="楷体"/>
          <w:color w:val="auto"/>
          <w:spacing w:val="-20"/>
          <w:sz w:val="44"/>
          <w:highlight w:val="none"/>
        </w:rPr>
      </w:pPr>
      <w:r>
        <w:rPr>
          <w:rFonts w:hint="eastAsia" w:ascii="楷体" w:hAnsi="楷体" w:eastAsia="楷体"/>
          <w:color w:val="auto"/>
          <w:spacing w:val="-20"/>
          <w:sz w:val="32"/>
          <w:szCs w:val="32"/>
          <w:highlight w:val="none"/>
        </w:rPr>
        <w:t>（202</w:t>
      </w:r>
      <w:r>
        <w:rPr>
          <w:rFonts w:hint="eastAsia" w:ascii="楷体" w:hAnsi="楷体" w:eastAsia="楷体"/>
          <w:color w:val="auto"/>
          <w:spacing w:val="-20"/>
          <w:sz w:val="32"/>
          <w:szCs w:val="32"/>
          <w:highlight w:val="none"/>
          <w:lang w:val="en-US" w:eastAsia="zh-CN"/>
        </w:rPr>
        <w:t>2</w:t>
      </w:r>
      <w:r>
        <w:rPr>
          <w:rFonts w:hint="eastAsia" w:ascii="楷体" w:hAnsi="楷体" w:eastAsia="楷体"/>
          <w:color w:val="auto"/>
          <w:spacing w:val="-20"/>
          <w:sz w:val="32"/>
          <w:szCs w:val="32"/>
          <w:highlight w:val="none"/>
        </w:rPr>
        <w:t>年</w:t>
      </w:r>
      <w:r>
        <w:rPr>
          <w:rFonts w:hint="eastAsia" w:ascii="楷体" w:hAnsi="楷体" w:eastAsia="楷体"/>
          <w:color w:val="auto"/>
          <w:spacing w:val="-20"/>
          <w:sz w:val="32"/>
          <w:szCs w:val="32"/>
          <w:highlight w:val="none"/>
          <w:lang w:val="en-US" w:eastAsia="zh-CN"/>
        </w:rPr>
        <w:t>2</w:t>
      </w:r>
      <w:r>
        <w:rPr>
          <w:rFonts w:hint="eastAsia" w:ascii="楷体" w:hAnsi="楷体" w:eastAsia="楷体"/>
          <w:color w:val="auto"/>
          <w:spacing w:val="-20"/>
          <w:sz w:val="32"/>
          <w:szCs w:val="32"/>
          <w:highlight w:val="none"/>
        </w:rPr>
        <w:t>月</w:t>
      </w:r>
      <w:r>
        <w:rPr>
          <w:rFonts w:hint="eastAsia" w:ascii="楷体" w:hAnsi="楷体" w:eastAsia="楷体"/>
          <w:color w:val="auto"/>
          <w:spacing w:val="-20"/>
          <w:sz w:val="32"/>
          <w:szCs w:val="32"/>
          <w:highlight w:val="none"/>
          <w:lang w:val="en-US" w:eastAsia="zh-CN"/>
        </w:rPr>
        <w:t>11</w:t>
      </w:r>
      <w:r>
        <w:rPr>
          <w:rFonts w:hint="eastAsia" w:ascii="楷体" w:hAnsi="楷体" w:eastAsia="楷体"/>
          <w:color w:val="auto"/>
          <w:spacing w:val="-20"/>
          <w:sz w:val="32"/>
          <w:szCs w:val="32"/>
          <w:highlight w:val="none"/>
        </w:rPr>
        <w:t>日在秭归县第十</w:t>
      </w:r>
      <w:r>
        <w:rPr>
          <w:rFonts w:hint="eastAsia" w:ascii="楷体" w:hAnsi="楷体" w:eastAsia="楷体"/>
          <w:color w:val="auto"/>
          <w:spacing w:val="-20"/>
          <w:sz w:val="32"/>
          <w:szCs w:val="32"/>
          <w:highlight w:val="none"/>
          <w:lang w:eastAsia="zh-CN"/>
        </w:rPr>
        <w:t>九</w:t>
      </w:r>
      <w:r>
        <w:rPr>
          <w:rFonts w:hint="eastAsia" w:ascii="楷体" w:hAnsi="楷体" w:eastAsia="楷体"/>
          <w:color w:val="auto"/>
          <w:spacing w:val="-20"/>
          <w:sz w:val="32"/>
          <w:szCs w:val="32"/>
          <w:highlight w:val="none"/>
        </w:rPr>
        <w:t>届人民代表大会第</w:t>
      </w:r>
      <w:r>
        <w:rPr>
          <w:rFonts w:hint="eastAsia" w:ascii="楷体" w:hAnsi="楷体" w:eastAsia="楷体"/>
          <w:color w:val="auto"/>
          <w:spacing w:val="-20"/>
          <w:sz w:val="32"/>
          <w:szCs w:val="32"/>
          <w:highlight w:val="none"/>
          <w:lang w:eastAsia="zh-CN"/>
        </w:rPr>
        <w:t>二</w:t>
      </w:r>
      <w:r>
        <w:rPr>
          <w:rFonts w:hint="eastAsia" w:ascii="楷体" w:hAnsi="楷体" w:eastAsia="楷体"/>
          <w:color w:val="auto"/>
          <w:spacing w:val="-20"/>
          <w:sz w:val="32"/>
          <w:szCs w:val="32"/>
          <w:highlight w:val="none"/>
        </w:rPr>
        <w:t>次会议上）</w:t>
      </w:r>
    </w:p>
    <w:p>
      <w:pPr>
        <w:keepNext w:val="0"/>
        <w:keepLines w:val="0"/>
        <w:pageBreakBefore w:val="0"/>
        <w:kinsoku/>
        <w:wordWrap/>
        <w:overflowPunct/>
        <w:topLinePunct w:val="0"/>
        <w:autoSpaceDE/>
        <w:autoSpaceDN/>
        <w:bidi w:val="0"/>
        <w:snapToGrid w:val="0"/>
        <w:spacing w:line="560" w:lineRule="exact"/>
        <w:jc w:val="center"/>
        <w:rPr>
          <w:rFonts w:ascii="楷体" w:hAnsi="楷体" w:eastAsia="楷体"/>
          <w:color w:val="auto"/>
          <w:sz w:val="32"/>
          <w:szCs w:val="32"/>
          <w:highlight w:val="none"/>
        </w:rPr>
      </w:pPr>
      <w:r>
        <w:rPr>
          <w:rFonts w:hint="eastAsia" w:ascii="楷体" w:hAnsi="楷体" w:eastAsia="楷体"/>
          <w:color w:val="auto"/>
          <w:sz w:val="32"/>
          <w:szCs w:val="32"/>
          <w:highlight w:val="none"/>
        </w:rPr>
        <w:t>秭归县财政局</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宋体" w:eastAsia="仿宋_GB2312" w:cs="宋体"/>
          <w:color w:val="auto"/>
          <w:kern w:val="0"/>
          <w:sz w:val="32"/>
          <w:szCs w:val="32"/>
          <w:highlight w:val="none"/>
        </w:rPr>
      </w:pPr>
    </w:p>
    <w:p>
      <w:pPr>
        <w:keepNext w:val="0"/>
        <w:keepLines w:val="0"/>
        <w:pageBreakBefore w:val="0"/>
        <w:kinsoku/>
        <w:wordWrap/>
        <w:overflowPunct/>
        <w:topLinePunct w:val="0"/>
        <w:autoSpaceDE/>
        <w:autoSpaceDN/>
        <w:bidi w:val="0"/>
        <w:spacing w:line="560" w:lineRule="exact"/>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各位代表：</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受县人民政府委托，现向大会报告20</w:t>
      </w:r>
      <w:r>
        <w:rPr>
          <w:rFonts w:hint="eastAsia" w:ascii="仿宋_GB2312" w:hAnsi="仿宋" w:eastAsia="仿宋_GB2312" w:cs="仿宋"/>
          <w:color w:val="auto"/>
          <w:sz w:val="32"/>
          <w:szCs w:val="32"/>
          <w:highlight w:val="none"/>
          <w:lang w:val="en-US" w:eastAsia="zh-CN"/>
        </w:rPr>
        <w:t>21</w:t>
      </w:r>
      <w:r>
        <w:rPr>
          <w:rFonts w:hint="eastAsia" w:ascii="仿宋_GB2312" w:hAnsi="仿宋" w:eastAsia="仿宋_GB2312" w:cs="仿宋"/>
          <w:color w:val="auto"/>
          <w:sz w:val="32"/>
          <w:szCs w:val="32"/>
          <w:highlight w:val="none"/>
        </w:rPr>
        <w:t>年预算执行情况和202</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年预算草案，请予审议，并请县政协委员和其他列席人员提出意见。</w:t>
      </w:r>
    </w:p>
    <w:p>
      <w:pPr>
        <w:keepNext w:val="0"/>
        <w:keepLines w:val="0"/>
        <w:pageBreakBefore w:val="0"/>
        <w:kinsoku/>
        <w:wordWrap/>
        <w:overflowPunct/>
        <w:topLinePunct w:val="0"/>
        <w:autoSpaceDE/>
        <w:autoSpaceDN/>
        <w:bidi w:val="0"/>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一、202</w:t>
      </w:r>
      <w:r>
        <w:rPr>
          <w:rFonts w:hint="eastAsia" w:ascii="黑体" w:hAnsi="黑体" w:eastAsia="黑体" w:cs="黑体"/>
          <w:color w:val="auto"/>
          <w:sz w:val="32"/>
          <w:szCs w:val="32"/>
          <w:highlight w:val="none"/>
          <w:lang w:val="en-US" w:eastAsia="zh-CN"/>
        </w:rPr>
        <w:t>1</w:t>
      </w:r>
      <w:r>
        <w:rPr>
          <w:rFonts w:hint="eastAsia" w:ascii="黑体" w:hAnsi="黑体" w:eastAsia="黑体" w:cs="黑体"/>
          <w:color w:val="auto"/>
          <w:sz w:val="32"/>
          <w:szCs w:val="32"/>
          <w:highlight w:val="none"/>
        </w:rPr>
        <w:t>年预算执行情况</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2021年，在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委的正确领导下，在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人大</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政协的监督支持下，深入学习贯彻党的十九大和十九届</w:t>
      </w:r>
      <w:r>
        <w:rPr>
          <w:rFonts w:hint="eastAsia" w:ascii="仿宋_GB2312" w:hAnsi="仿宋" w:eastAsia="仿宋_GB2312" w:cs="仿宋"/>
          <w:color w:val="auto"/>
          <w:sz w:val="32"/>
          <w:szCs w:val="32"/>
          <w:highlight w:val="none"/>
          <w:lang w:eastAsia="zh-CN"/>
        </w:rPr>
        <w:t>历次</w:t>
      </w:r>
      <w:r>
        <w:rPr>
          <w:rFonts w:hint="eastAsia" w:ascii="仿宋_GB2312" w:hAnsi="仿宋" w:eastAsia="仿宋_GB2312" w:cs="仿宋"/>
          <w:color w:val="auto"/>
          <w:sz w:val="32"/>
          <w:szCs w:val="32"/>
          <w:highlight w:val="none"/>
        </w:rPr>
        <w:t>全会精神，</w:t>
      </w:r>
      <w:r>
        <w:rPr>
          <w:rFonts w:hint="eastAsia" w:ascii="仿宋_GB2312" w:hAnsi="仿宋" w:eastAsia="仿宋_GB2312" w:cs="仿宋"/>
          <w:color w:val="auto"/>
          <w:sz w:val="32"/>
          <w:szCs w:val="32"/>
          <w:highlight w:val="none"/>
          <w:lang w:eastAsia="zh-CN"/>
        </w:rPr>
        <w:t>严格执行县十八届人大七次会议批准的预算，</w:t>
      </w:r>
      <w:r>
        <w:rPr>
          <w:rFonts w:hint="eastAsia" w:ascii="仿宋_GB2312" w:hAnsi="仿宋" w:eastAsia="仿宋_GB2312" w:cs="仿宋"/>
          <w:color w:val="auto"/>
          <w:sz w:val="32"/>
          <w:szCs w:val="32"/>
          <w:highlight w:val="none"/>
        </w:rPr>
        <w:t>坚持稳中求进总基调，坚持新发展理念，坚持以供给侧结构性改革为主线，坚持以改革开放为动力，扎实做好“六稳”工作，全面落实“六保”任务。坚定不移推动高质量发展，落实积极财政政策，着力深化财政改革，加强政府性债务管理，有效防范财政风险，为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“十四五”开好局，起好步提供了坚实的财力保障。</w:t>
      </w:r>
      <w:r>
        <w:rPr>
          <w:rFonts w:hint="eastAsia" w:ascii="仿宋_GB2312" w:hAnsi="仿宋" w:eastAsia="仿宋_GB2312" w:cs="仿宋"/>
          <w:color w:val="auto"/>
          <w:sz w:val="32"/>
          <w:szCs w:val="32"/>
          <w:highlight w:val="none"/>
        </w:rPr>
        <w:tab/>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（一）一般公共预算执行情况</w:t>
      </w:r>
    </w:p>
    <w:p>
      <w:pPr>
        <w:keepNext w:val="0"/>
        <w:keepLines w:val="0"/>
        <w:pageBreakBefore w:val="0"/>
        <w:kinsoku/>
        <w:wordWrap/>
        <w:overflowPunct/>
        <w:topLinePunct w:val="0"/>
        <w:autoSpaceDE/>
        <w:autoSpaceDN/>
        <w:bidi w:val="0"/>
        <w:adjustRightInd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地方一般公共预算收入</w:t>
      </w:r>
      <w:r>
        <w:rPr>
          <w:rFonts w:hint="eastAsia" w:ascii="仿宋_GB2312" w:hAnsi="仿宋" w:eastAsia="仿宋_GB2312" w:cs="仿宋"/>
          <w:color w:val="auto"/>
          <w:sz w:val="32"/>
          <w:szCs w:val="32"/>
          <w:highlight w:val="none"/>
          <w:lang w:val="en-US" w:eastAsia="zh-CN"/>
        </w:rPr>
        <w:t>59028</w:t>
      </w:r>
      <w:r>
        <w:rPr>
          <w:rFonts w:hint="eastAsia" w:ascii="仿宋_GB2312" w:hAnsi="仿宋" w:eastAsia="仿宋_GB2312" w:cs="仿宋"/>
          <w:color w:val="auto"/>
          <w:sz w:val="32"/>
          <w:szCs w:val="32"/>
          <w:highlight w:val="none"/>
          <w:lang w:eastAsia="zh-CN"/>
        </w:rPr>
        <w:t>万</w:t>
      </w:r>
      <w:r>
        <w:rPr>
          <w:rFonts w:hint="eastAsia" w:ascii="仿宋_GB2312" w:hAnsi="仿宋" w:eastAsia="仿宋_GB2312" w:cs="仿宋"/>
          <w:color w:val="auto"/>
          <w:sz w:val="32"/>
          <w:szCs w:val="32"/>
          <w:highlight w:val="none"/>
        </w:rPr>
        <w:t>元，完成调整预算数的</w:t>
      </w:r>
      <w:r>
        <w:rPr>
          <w:rFonts w:hint="eastAsia" w:ascii="仿宋_GB2312" w:hAnsi="仿宋" w:eastAsia="仿宋_GB2312" w:cs="仿宋"/>
          <w:color w:val="auto"/>
          <w:sz w:val="32"/>
          <w:szCs w:val="32"/>
          <w:highlight w:val="none"/>
          <w:lang w:val="en-US" w:eastAsia="zh-CN"/>
        </w:rPr>
        <w:t>101.7</w:t>
      </w:r>
      <w:r>
        <w:rPr>
          <w:rFonts w:hint="eastAsia" w:ascii="仿宋_GB2312" w:hAnsi="仿宋" w:eastAsia="仿宋_GB2312" w:cs="仿宋"/>
          <w:color w:val="auto"/>
          <w:sz w:val="32"/>
          <w:szCs w:val="32"/>
          <w:highlight w:val="none"/>
        </w:rPr>
        <w:t>%，同比</w:t>
      </w:r>
      <w:r>
        <w:rPr>
          <w:rFonts w:hint="eastAsia" w:ascii="仿宋_GB2312" w:hAnsi="仿宋" w:eastAsia="仿宋_GB2312" w:cs="仿宋"/>
          <w:color w:val="auto"/>
          <w:sz w:val="32"/>
          <w:szCs w:val="32"/>
          <w:highlight w:val="none"/>
          <w:lang w:eastAsia="zh-CN"/>
        </w:rPr>
        <w:t>增长</w:t>
      </w:r>
      <w:r>
        <w:rPr>
          <w:rFonts w:hint="eastAsia" w:ascii="仿宋_GB2312" w:hAnsi="仿宋" w:eastAsia="仿宋_GB2312" w:cs="仿宋"/>
          <w:color w:val="auto"/>
          <w:sz w:val="32"/>
          <w:szCs w:val="32"/>
          <w:highlight w:val="none"/>
          <w:lang w:val="en-US" w:eastAsia="zh-CN"/>
        </w:rPr>
        <w:t>49.3</w:t>
      </w:r>
      <w:r>
        <w:rPr>
          <w:rFonts w:hint="eastAsia" w:ascii="仿宋_GB2312" w:hAnsi="仿宋" w:eastAsia="仿宋_GB2312" w:cs="仿宋"/>
          <w:color w:val="auto"/>
          <w:sz w:val="32"/>
          <w:szCs w:val="32"/>
          <w:highlight w:val="none"/>
        </w:rPr>
        <w:t>%。其中税收收入完成</w:t>
      </w:r>
      <w:r>
        <w:rPr>
          <w:rFonts w:hint="eastAsia" w:ascii="仿宋_GB2312" w:hAnsi="仿宋" w:eastAsia="仿宋_GB2312" w:cs="仿宋"/>
          <w:color w:val="auto"/>
          <w:sz w:val="32"/>
          <w:szCs w:val="32"/>
          <w:highlight w:val="none"/>
          <w:lang w:val="en-US" w:eastAsia="zh-CN"/>
        </w:rPr>
        <w:t>44180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，非税收入完成</w:t>
      </w:r>
      <w:r>
        <w:rPr>
          <w:rFonts w:hint="eastAsia" w:ascii="仿宋_GB2312" w:hAnsi="仿宋" w:eastAsia="仿宋_GB2312" w:cs="仿宋"/>
          <w:color w:val="auto"/>
          <w:sz w:val="32"/>
          <w:szCs w:val="32"/>
          <w:highlight w:val="none"/>
          <w:lang w:val="en-US" w:eastAsia="zh-CN"/>
        </w:rPr>
        <w:t>14848</w:t>
      </w:r>
      <w:r>
        <w:rPr>
          <w:rFonts w:hint="eastAsia" w:ascii="仿宋_GB2312" w:hAnsi="仿宋" w:eastAsia="仿宋_GB2312" w:cs="仿宋"/>
          <w:color w:val="auto"/>
          <w:sz w:val="32"/>
          <w:szCs w:val="32"/>
          <w:highlight w:val="none"/>
        </w:rPr>
        <w:t>万元,税收占比</w:t>
      </w:r>
      <w:r>
        <w:rPr>
          <w:rFonts w:hint="eastAsia" w:ascii="仿宋_GB2312" w:hAnsi="仿宋" w:eastAsia="仿宋_GB2312" w:cs="仿宋"/>
          <w:color w:val="auto"/>
          <w:sz w:val="32"/>
          <w:szCs w:val="32"/>
          <w:highlight w:val="none"/>
          <w:lang w:val="en-US" w:eastAsia="zh-CN"/>
        </w:rPr>
        <w:t>74.8</w:t>
      </w:r>
      <w:r>
        <w:rPr>
          <w:rFonts w:hint="eastAsia" w:ascii="仿宋_GB2312" w:hAnsi="仿宋" w:eastAsia="仿宋_GB2312" w:cs="仿宋"/>
          <w:color w:val="auto"/>
          <w:sz w:val="32"/>
          <w:szCs w:val="32"/>
          <w:highlight w:val="none"/>
        </w:rPr>
        <w:t>%</w:t>
      </w:r>
      <w:r>
        <w:rPr>
          <w:rFonts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与同期基本持平</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rPr>
        <w:t>地方一般公共预算支出</w:t>
      </w:r>
      <w:r>
        <w:rPr>
          <w:rFonts w:hint="eastAsia" w:ascii="仿宋_GB2312" w:hAnsi="仿宋" w:eastAsia="仿宋_GB2312" w:cs="仿宋"/>
          <w:color w:val="auto"/>
          <w:sz w:val="32"/>
          <w:szCs w:val="32"/>
          <w:highlight w:val="none"/>
          <w:lang w:val="en-US" w:eastAsia="zh-CN"/>
        </w:rPr>
        <w:t>313004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94.2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，低于调整预算数主要原因是</w:t>
      </w:r>
      <w:r>
        <w:rPr>
          <w:rFonts w:hint="eastAsia" w:ascii="仿宋_GB2312" w:hAnsi="仿宋" w:eastAsia="仿宋_GB2312" w:cs="仿宋"/>
          <w:color w:val="auto"/>
          <w:sz w:val="32"/>
          <w:szCs w:val="32"/>
          <w:highlight w:val="none"/>
          <w:lang w:val="en-US" w:eastAsia="zh-CN"/>
        </w:rPr>
        <w:t>2021年实行收付实现制，支出数以实际支付数为准，未形成实际支付的金额转入2022年</w:t>
      </w:r>
      <w:r>
        <w:rPr>
          <w:rFonts w:hint="eastAsia" w:ascii="仿宋_GB2312" w:hAnsi="仿宋" w:eastAsia="仿宋_GB2312" w:cs="仿宋"/>
          <w:color w:val="auto"/>
          <w:sz w:val="32"/>
          <w:szCs w:val="32"/>
          <w:highlight w:val="none"/>
        </w:rPr>
        <w:t>。主要项目情况为：一般公共服务支出</w:t>
      </w:r>
      <w:r>
        <w:rPr>
          <w:rFonts w:hint="eastAsia" w:ascii="仿宋_GB2312" w:hAnsi="仿宋" w:eastAsia="仿宋_GB2312" w:cs="仿宋"/>
          <w:color w:val="auto"/>
          <w:sz w:val="32"/>
          <w:szCs w:val="32"/>
          <w:highlight w:val="none"/>
          <w:lang w:val="en-US" w:eastAsia="zh-CN"/>
        </w:rPr>
        <w:t>36523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83.4</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国防支出</w:t>
      </w:r>
      <w:r>
        <w:rPr>
          <w:rFonts w:hint="eastAsia" w:ascii="仿宋_GB2312" w:hAnsi="仿宋" w:eastAsia="仿宋_GB2312" w:cs="仿宋"/>
          <w:color w:val="auto"/>
          <w:sz w:val="32"/>
          <w:szCs w:val="32"/>
          <w:highlight w:val="none"/>
          <w:lang w:val="en-US" w:eastAsia="zh-CN"/>
        </w:rPr>
        <w:t>43万元，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53.7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公共安全支出</w:t>
      </w:r>
      <w:r>
        <w:rPr>
          <w:rFonts w:hint="eastAsia" w:ascii="仿宋_GB2312" w:hAnsi="仿宋" w:eastAsia="仿宋_GB2312" w:cs="仿宋"/>
          <w:color w:val="auto"/>
          <w:sz w:val="32"/>
          <w:szCs w:val="32"/>
          <w:highlight w:val="none"/>
          <w:lang w:val="en-US" w:eastAsia="zh-CN"/>
        </w:rPr>
        <w:t>10365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87.4</w:t>
      </w:r>
      <w:r>
        <w:rPr>
          <w:rFonts w:hint="eastAsia" w:ascii="仿宋_GB2312" w:hAnsi="仿宋" w:eastAsia="仿宋_GB2312" w:cs="仿宋"/>
          <w:color w:val="auto"/>
          <w:sz w:val="32"/>
          <w:szCs w:val="32"/>
          <w:highlight w:val="none"/>
        </w:rPr>
        <w:t>%；教育支出</w:t>
      </w:r>
      <w:r>
        <w:rPr>
          <w:rFonts w:hint="eastAsia" w:ascii="仿宋_GB2312" w:hAnsi="仿宋" w:eastAsia="仿宋_GB2312" w:cs="仿宋"/>
          <w:color w:val="auto"/>
          <w:sz w:val="32"/>
          <w:szCs w:val="32"/>
          <w:highlight w:val="none"/>
          <w:lang w:val="en-US" w:eastAsia="zh-CN"/>
        </w:rPr>
        <w:t>57502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110.1</w:t>
      </w:r>
      <w:r>
        <w:rPr>
          <w:rFonts w:hint="eastAsia" w:ascii="仿宋_GB2312" w:hAnsi="仿宋" w:eastAsia="仿宋_GB2312" w:cs="仿宋"/>
          <w:color w:val="auto"/>
          <w:sz w:val="32"/>
          <w:szCs w:val="32"/>
          <w:highlight w:val="none"/>
        </w:rPr>
        <w:t>%；科学技术支出</w:t>
      </w:r>
      <w:r>
        <w:rPr>
          <w:rFonts w:hint="eastAsia" w:ascii="仿宋_GB2312" w:hAnsi="仿宋" w:eastAsia="仿宋_GB2312" w:cs="仿宋"/>
          <w:color w:val="auto"/>
          <w:sz w:val="32"/>
          <w:szCs w:val="32"/>
          <w:highlight w:val="none"/>
          <w:lang w:val="en-US" w:eastAsia="zh-CN"/>
        </w:rPr>
        <w:t>4306</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104.9</w:t>
      </w:r>
      <w:r>
        <w:rPr>
          <w:rFonts w:hint="eastAsia" w:ascii="仿宋_GB2312" w:hAnsi="仿宋" w:eastAsia="仿宋_GB2312" w:cs="仿宋"/>
          <w:color w:val="auto"/>
          <w:sz w:val="32"/>
          <w:szCs w:val="32"/>
          <w:highlight w:val="none"/>
        </w:rPr>
        <w:t>%；文化体育与传媒支出</w:t>
      </w:r>
      <w:r>
        <w:rPr>
          <w:rFonts w:hint="eastAsia" w:ascii="仿宋_GB2312" w:hAnsi="仿宋" w:eastAsia="仿宋_GB2312" w:cs="仿宋"/>
          <w:color w:val="auto"/>
          <w:sz w:val="32"/>
          <w:szCs w:val="32"/>
          <w:highlight w:val="none"/>
          <w:lang w:val="en-US" w:eastAsia="zh-CN"/>
        </w:rPr>
        <w:t>6429</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109.6</w:t>
      </w:r>
      <w:r>
        <w:rPr>
          <w:rFonts w:hint="eastAsia" w:ascii="仿宋_GB2312" w:hAnsi="仿宋" w:eastAsia="仿宋_GB2312" w:cs="仿宋"/>
          <w:color w:val="auto"/>
          <w:sz w:val="32"/>
          <w:szCs w:val="32"/>
          <w:highlight w:val="none"/>
        </w:rPr>
        <w:t>%；社会保障和就业支出</w:t>
      </w:r>
      <w:r>
        <w:rPr>
          <w:rFonts w:hint="eastAsia" w:ascii="仿宋_GB2312" w:hAnsi="仿宋" w:eastAsia="仿宋_GB2312" w:cs="仿宋"/>
          <w:color w:val="auto"/>
          <w:sz w:val="32"/>
          <w:szCs w:val="32"/>
          <w:highlight w:val="none"/>
          <w:lang w:val="en-US" w:eastAsia="zh-CN"/>
        </w:rPr>
        <w:t>45557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106.6</w:t>
      </w:r>
      <w:r>
        <w:rPr>
          <w:rFonts w:hint="eastAsia" w:ascii="仿宋_GB2312" w:hAnsi="仿宋" w:eastAsia="仿宋_GB2312" w:cs="仿宋"/>
          <w:color w:val="auto"/>
          <w:sz w:val="32"/>
          <w:szCs w:val="32"/>
          <w:highlight w:val="none"/>
        </w:rPr>
        <w:t>%；卫生健康支出</w:t>
      </w:r>
      <w:r>
        <w:rPr>
          <w:rFonts w:hint="eastAsia" w:ascii="仿宋_GB2312" w:hAnsi="仿宋" w:eastAsia="仿宋_GB2312" w:cs="仿宋"/>
          <w:color w:val="auto"/>
          <w:sz w:val="32"/>
          <w:szCs w:val="32"/>
          <w:highlight w:val="none"/>
          <w:lang w:val="en-US" w:eastAsia="zh-CN"/>
        </w:rPr>
        <w:t>41618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84</w:t>
      </w:r>
      <w:r>
        <w:rPr>
          <w:rFonts w:hint="eastAsia" w:ascii="仿宋_GB2312" w:hAnsi="仿宋" w:eastAsia="仿宋_GB2312" w:cs="仿宋"/>
          <w:color w:val="auto"/>
          <w:sz w:val="32"/>
          <w:szCs w:val="32"/>
          <w:highlight w:val="none"/>
        </w:rPr>
        <w:t>%；节能环保支出</w:t>
      </w:r>
      <w:r>
        <w:rPr>
          <w:rFonts w:hint="eastAsia" w:ascii="仿宋_GB2312" w:hAnsi="仿宋" w:eastAsia="仿宋_GB2312" w:cs="仿宋"/>
          <w:color w:val="auto"/>
          <w:sz w:val="32"/>
          <w:szCs w:val="32"/>
          <w:highlight w:val="none"/>
          <w:lang w:val="en-US" w:eastAsia="zh-CN"/>
        </w:rPr>
        <w:t>8544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98.3</w:t>
      </w:r>
      <w:r>
        <w:rPr>
          <w:rFonts w:hint="eastAsia" w:ascii="仿宋_GB2312" w:hAnsi="仿宋" w:eastAsia="仿宋_GB2312" w:cs="仿宋"/>
          <w:color w:val="auto"/>
          <w:sz w:val="32"/>
          <w:szCs w:val="32"/>
          <w:highlight w:val="none"/>
        </w:rPr>
        <w:t>%；城乡社区支出</w:t>
      </w:r>
      <w:r>
        <w:rPr>
          <w:rFonts w:hint="eastAsia" w:ascii="仿宋_GB2312" w:hAnsi="仿宋" w:eastAsia="仿宋_GB2312" w:cs="仿宋"/>
          <w:color w:val="auto"/>
          <w:sz w:val="32"/>
          <w:szCs w:val="32"/>
          <w:highlight w:val="none"/>
          <w:lang w:val="en-US" w:eastAsia="zh-CN"/>
        </w:rPr>
        <w:t>7588</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87.9</w:t>
      </w:r>
      <w:r>
        <w:rPr>
          <w:rFonts w:hint="eastAsia" w:ascii="仿宋_GB2312" w:hAnsi="仿宋" w:eastAsia="仿宋_GB2312" w:cs="仿宋"/>
          <w:color w:val="auto"/>
          <w:sz w:val="32"/>
          <w:szCs w:val="32"/>
          <w:highlight w:val="none"/>
        </w:rPr>
        <w:t>%；农林水支出</w:t>
      </w:r>
      <w:r>
        <w:rPr>
          <w:rFonts w:hint="eastAsia" w:ascii="仿宋_GB2312" w:hAnsi="仿宋" w:eastAsia="仿宋_GB2312" w:cs="仿宋"/>
          <w:color w:val="auto"/>
          <w:sz w:val="32"/>
          <w:szCs w:val="32"/>
          <w:highlight w:val="none"/>
          <w:lang w:val="en-US" w:eastAsia="zh-CN"/>
        </w:rPr>
        <w:t>60632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95.1</w:t>
      </w:r>
      <w:r>
        <w:rPr>
          <w:rFonts w:hint="eastAsia" w:ascii="仿宋_GB2312" w:hAnsi="仿宋" w:eastAsia="仿宋_GB2312" w:cs="仿宋"/>
          <w:color w:val="auto"/>
          <w:sz w:val="32"/>
          <w:szCs w:val="32"/>
          <w:highlight w:val="none"/>
        </w:rPr>
        <w:t>%；交通运输支出</w:t>
      </w:r>
      <w:r>
        <w:rPr>
          <w:rFonts w:hint="eastAsia" w:ascii="仿宋_GB2312" w:hAnsi="仿宋" w:eastAsia="仿宋_GB2312" w:cs="仿宋"/>
          <w:color w:val="auto"/>
          <w:sz w:val="32"/>
          <w:szCs w:val="32"/>
          <w:highlight w:val="none"/>
          <w:lang w:val="en-US" w:eastAsia="zh-CN"/>
        </w:rPr>
        <w:t>13693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78.5</w:t>
      </w:r>
      <w:r>
        <w:rPr>
          <w:rFonts w:hint="eastAsia" w:ascii="仿宋_GB2312" w:hAnsi="仿宋" w:eastAsia="仿宋_GB2312" w:cs="仿宋"/>
          <w:color w:val="auto"/>
          <w:sz w:val="32"/>
          <w:szCs w:val="32"/>
          <w:highlight w:val="none"/>
        </w:rPr>
        <w:t>%；资源勘探</w:t>
      </w:r>
      <w:r>
        <w:rPr>
          <w:rFonts w:hint="eastAsia" w:ascii="仿宋_GB2312" w:hAnsi="仿宋" w:eastAsia="仿宋_GB2312" w:cs="仿宋"/>
          <w:color w:val="auto"/>
          <w:sz w:val="32"/>
          <w:szCs w:val="32"/>
          <w:highlight w:val="none"/>
          <w:lang w:eastAsia="zh-CN"/>
        </w:rPr>
        <w:t>工业</w:t>
      </w:r>
      <w:r>
        <w:rPr>
          <w:rFonts w:hint="eastAsia" w:ascii="仿宋_GB2312" w:hAnsi="仿宋" w:eastAsia="仿宋_GB2312" w:cs="仿宋"/>
          <w:color w:val="auto"/>
          <w:sz w:val="32"/>
          <w:szCs w:val="32"/>
          <w:highlight w:val="none"/>
        </w:rPr>
        <w:t>信息支出</w:t>
      </w:r>
      <w:r>
        <w:rPr>
          <w:rFonts w:hint="eastAsia" w:ascii="仿宋_GB2312" w:hAnsi="仿宋" w:eastAsia="仿宋_GB2312" w:cs="仿宋"/>
          <w:color w:val="auto"/>
          <w:sz w:val="32"/>
          <w:szCs w:val="32"/>
          <w:highlight w:val="none"/>
          <w:lang w:val="en-US" w:eastAsia="zh-CN"/>
        </w:rPr>
        <w:t>1715</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99.9</w:t>
      </w:r>
      <w:r>
        <w:rPr>
          <w:rFonts w:hint="eastAsia" w:ascii="仿宋_GB2312" w:hAnsi="仿宋" w:eastAsia="仿宋_GB2312" w:cs="仿宋"/>
          <w:color w:val="auto"/>
          <w:sz w:val="32"/>
          <w:szCs w:val="32"/>
          <w:highlight w:val="none"/>
        </w:rPr>
        <w:t>%；商业服务业支出</w:t>
      </w:r>
      <w:r>
        <w:rPr>
          <w:rFonts w:hint="eastAsia" w:ascii="仿宋_GB2312" w:hAnsi="仿宋" w:eastAsia="仿宋_GB2312" w:cs="仿宋"/>
          <w:color w:val="auto"/>
          <w:sz w:val="32"/>
          <w:szCs w:val="32"/>
          <w:highlight w:val="none"/>
          <w:lang w:val="en-US" w:eastAsia="zh-CN"/>
        </w:rPr>
        <w:t>636</w:t>
      </w:r>
      <w:r>
        <w:rPr>
          <w:rFonts w:hint="eastAsia" w:ascii="仿宋_GB2312" w:hAnsi="仿宋" w:eastAsia="仿宋_GB2312" w:cs="仿宋"/>
          <w:color w:val="auto"/>
          <w:sz w:val="32"/>
          <w:szCs w:val="32"/>
          <w:highlight w:val="none"/>
        </w:rPr>
        <w:t>万</w:t>
      </w:r>
      <w:r>
        <w:rPr>
          <w:rFonts w:hint="eastAsia" w:ascii="仿宋_GB2312" w:hAnsi="仿宋" w:eastAsia="仿宋_GB2312" w:cs="仿宋"/>
          <w:color w:val="auto"/>
          <w:sz w:val="32"/>
          <w:szCs w:val="32"/>
          <w:highlight w:val="none"/>
          <w:lang w:eastAsia="zh-CN"/>
        </w:rPr>
        <w:t>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83.1</w:t>
      </w:r>
      <w:r>
        <w:rPr>
          <w:rFonts w:hint="eastAsia" w:ascii="仿宋_GB2312" w:hAnsi="仿宋" w:eastAsia="仿宋_GB2312" w:cs="仿宋"/>
          <w:color w:val="auto"/>
          <w:sz w:val="32"/>
          <w:szCs w:val="32"/>
          <w:highlight w:val="none"/>
        </w:rPr>
        <w:t>%；自然资源海洋气象等支出</w:t>
      </w:r>
      <w:r>
        <w:rPr>
          <w:rFonts w:hint="eastAsia" w:ascii="仿宋_GB2312" w:hAnsi="仿宋" w:eastAsia="仿宋_GB2312" w:cs="仿宋"/>
          <w:color w:val="auto"/>
          <w:sz w:val="32"/>
          <w:szCs w:val="32"/>
          <w:highlight w:val="none"/>
          <w:lang w:val="en-US" w:eastAsia="zh-CN"/>
        </w:rPr>
        <w:t>3417</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81.1</w:t>
      </w:r>
      <w:r>
        <w:rPr>
          <w:rFonts w:hint="eastAsia" w:ascii="仿宋_GB2312" w:hAnsi="仿宋" w:eastAsia="仿宋_GB2312" w:cs="仿宋"/>
          <w:color w:val="auto"/>
          <w:sz w:val="32"/>
          <w:szCs w:val="32"/>
          <w:highlight w:val="none"/>
        </w:rPr>
        <w:t>%；住房保障支出</w:t>
      </w:r>
      <w:r>
        <w:rPr>
          <w:rFonts w:hint="eastAsia" w:ascii="仿宋_GB2312" w:hAnsi="仿宋" w:eastAsia="仿宋_GB2312" w:cs="仿宋"/>
          <w:color w:val="auto"/>
          <w:sz w:val="32"/>
          <w:szCs w:val="32"/>
          <w:highlight w:val="none"/>
          <w:lang w:val="en-US" w:eastAsia="zh-CN"/>
        </w:rPr>
        <w:t>5792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96.1</w:t>
      </w:r>
      <w:r>
        <w:rPr>
          <w:rFonts w:hint="eastAsia" w:ascii="仿宋_GB2312" w:hAnsi="仿宋" w:eastAsia="仿宋_GB2312" w:cs="仿宋"/>
          <w:color w:val="auto"/>
          <w:sz w:val="32"/>
          <w:szCs w:val="32"/>
          <w:highlight w:val="none"/>
        </w:rPr>
        <w:t>%；粮油</w:t>
      </w:r>
      <w:r>
        <w:rPr>
          <w:rFonts w:hint="eastAsia" w:ascii="仿宋_GB2312" w:hAnsi="仿宋" w:eastAsia="仿宋_GB2312" w:cs="仿宋"/>
          <w:color w:val="auto"/>
          <w:sz w:val="32"/>
          <w:szCs w:val="32"/>
          <w:highlight w:val="none"/>
          <w:lang w:eastAsia="zh-CN"/>
        </w:rPr>
        <w:t>物资</w:t>
      </w:r>
      <w:r>
        <w:rPr>
          <w:rFonts w:hint="eastAsia" w:ascii="仿宋_GB2312" w:hAnsi="仿宋" w:eastAsia="仿宋_GB2312" w:cs="仿宋"/>
          <w:color w:val="auto"/>
          <w:sz w:val="32"/>
          <w:szCs w:val="32"/>
          <w:highlight w:val="none"/>
        </w:rPr>
        <w:t>储备支出</w:t>
      </w:r>
      <w:r>
        <w:rPr>
          <w:rFonts w:hint="eastAsia" w:ascii="仿宋_GB2312" w:hAnsi="仿宋" w:eastAsia="仿宋_GB2312" w:cs="仿宋"/>
          <w:color w:val="auto"/>
          <w:sz w:val="32"/>
          <w:szCs w:val="32"/>
          <w:highlight w:val="none"/>
          <w:lang w:val="en-US" w:eastAsia="zh-CN"/>
        </w:rPr>
        <w:t>519</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89</w:t>
      </w:r>
      <w:r>
        <w:rPr>
          <w:rFonts w:hint="eastAsia" w:ascii="仿宋_GB2312" w:hAnsi="仿宋" w:eastAsia="仿宋_GB2312" w:cs="仿宋"/>
          <w:color w:val="auto"/>
          <w:sz w:val="32"/>
          <w:szCs w:val="32"/>
          <w:highlight w:val="none"/>
        </w:rPr>
        <w:t>%；灾害防治及应急管理支出</w:t>
      </w:r>
      <w:r>
        <w:rPr>
          <w:rFonts w:hint="eastAsia" w:ascii="仿宋_GB2312" w:hAnsi="仿宋" w:eastAsia="仿宋_GB2312" w:cs="仿宋"/>
          <w:color w:val="auto"/>
          <w:sz w:val="32"/>
          <w:szCs w:val="32"/>
          <w:highlight w:val="none"/>
          <w:lang w:val="en-US" w:eastAsia="zh-CN"/>
        </w:rPr>
        <w:t>1824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57.3</w:t>
      </w:r>
      <w:r>
        <w:rPr>
          <w:rFonts w:hint="eastAsia" w:ascii="仿宋_GB2312" w:hAnsi="仿宋" w:eastAsia="仿宋_GB2312" w:cs="仿宋"/>
          <w:color w:val="auto"/>
          <w:sz w:val="32"/>
          <w:szCs w:val="32"/>
          <w:highlight w:val="none"/>
        </w:rPr>
        <w:t>%；债务付息支出</w:t>
      </w:r>
      <w:r>
        <w:rPr>
          <w:rFonts w:hint="eastAsia" w:ascii="仿宋_GB2312" w:hAnsi="仿宋" w:eastAsia="仿宋_GB2312" w:cs="仿宋"/>
          <w:color w:val="auto"/>
          <w:sz w:val="32"/>
          <w:szCs w:val="32"/>
          <w:highlight w:val="none"/>
          <w:lang w:val="en-US" w:eastAsia="zh-CN"/>
        </w:rPr>
        <w:t>6280</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89.7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；债务发行费支出</w:t>
      </w:r>
      <w:r>
        <w:rPr>
          <w:rFonts w:hint="eastAsia" w:ascii="仿宋_GB2312" w:hAnsi="仿宋" w:eastAsia="仿宋_GB2312" w:cs="仿宋"/>
          <w:color w:val="auto"/>
          <w:sz w:val="32"/>
          <w:szCs w:val="32"/>
          <w:highlight w:val="none"/>
          <w:lang w:val="en-US" w:eastAsia="zh-CN"/>
        </w:rPr>
        <w:t>21万元,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综合分析，地方一般公共预算收入完成59028万元,较年初预算55000万元增长4028万元，增长原因主要是经济形势发展好于预期，带来收入的增长。</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地方一般公共预算支出完成313004万元，较年初预算293719万元增19285万元，增长原因主要是上级补助收入增加，带来相应的支出增加。</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平衡情况。</w:t>
      </w:r>
      <w:r>
        <w:rPr>
          <w:rFonts w:hint="eastAsia" w:ascii="仿宋_GB2312" w:hAnsi="仿宋" w:eastAsia="仿宋_GB2312" w:cs="仿宋"/>
          <w:color w:val="auto"/>
          <w:spacing w:val="-4"/>
          <w:sz w:val="32"/>
          <w:szCs w:val="32"/>
          <w:highlight w:val="none"/>
        </w:rPr>
        <w:t>一般公共预算收入总量</w:t>
      </w:r>
      <w:r>
        <w:rPr>
          <w:rFonts w:hint="eastAsia" w:ascii="仿宋_GB2312" w:hAnsi="仿宋" w:eastAsia="仿宋_GB2312" w:cs="仿宋"/>
          <w:color w:val="auto"/>
          <w:spacing w:val="-4"/>
          <w:sz w:val="32"/>
          <w:szCs w:val="32"/>
          <w:highlight w:val="none"/>
          <w:lang w:val="en-US" w:eastAsia="zh-CN"/>
        </w:rPr>
        <w:t>376785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，其中：地方一般公共预算收入</w:t>
      </w:r>
      <w:r>
        <w:rPr>
          <w:rFonts w:hint="eastAsia" w:ascii="仿宋_GB2312" w:hAnsi="仿宋" w:eastAsia="仿宋_GB2312" w:cs="仿宋"/>
          <w:color w:val="auto"/>
          <w:spacing w:val="-4"/>
          <w:sz w:val="32"/>
          <w:szCs w:val="32"/>
          <w:highlight w:val="none"/>
          <w:lang w:val="en-US" w:eastAsia="zh-CN"/>
        </w:rPr>
        <w:t>59028</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；上级补助收入</w:t>
      </w:r>
      <w:r>
        <w:rPr>
          <w:rFonts w:hint="eastAsia" w:ascii="仿宋_GB2312" w:hAnsi="仿宋" w:eastAsia="仿宋_GB2312" w:cs="仿宋"/>
          <w:color w:val="auto"/>
          <w:spacing w:val="-4"/>
          <w:sz w:val="32"/>
          <w:szCs w:val="32"/>
          <w:highlight w:val="none"/>
          <w:lang w:val="en-US" w:eastAsia="zh-CN"/>
        </w:rPr>
        <w:t>237915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，其中返还性收入</w:t>
      </w:r>
      <w:r>
        <w:rPr>
          <w:rFonts w:hint="eastAsia" w:ascii="仿宋_GB2312" w:hAnsi="仿宋" w:eastAsia="仿宋_GB2312" w:cs="仿宋"/>
          <w:color w:val="auto"/>
          <w:spacing w:val="-4"/>
          <w:sz w:val="32"/>
          <w:szCs w:val="32"/>
          <w:highlight w:val="none"/>
          <w:lang w:val="en-US" w:eastAsia="zh-CN"/>
        </w:rPr>
        <w:t>15471</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、一般性转移支付收入</w:t>
      </w:r>
      <w:r>
        <w:rPr>
          <w:rFonts w:hint="eastAsia" w:ascii="仿宋_GB2312" w:hAnsi="仿宋" w:eastAsia="仿宋_GB2312" w:cs="仿宋"/>
          <w:color w:val="auto"/>
          <w:spacing w:val="-4"/>
          <w:sz w:val="32"/>
          <w:szCs w:val="32"/>
          <w:highlight w:val="none"/>
          <w:lang w:val="en-US" w:eastAsia="zh-CN"/>
        </w:rPr>
        <w:t>197879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、专项转移支付收入</w:t>
      </w:r>
      <w:r>
        <w:rPr>
          <w:rFonts w:hint="eastAsia" w:ascii="仿宋_GB2312" w:hAnsi="仿宋" w:eastAsia="仿宋_GB2312" w:cs="仿宋"/>
          <w:color w:val="auto"/>
          <w:spacing w:val="-4"/>
          <w:sz w:val="32"/>
          <w:szCs w:val="32"/>
          <w:highlight w:val="none"/>
          <w:lang w:val="en-US" w:eastAsia="zh-CN"/>
        </w:rPr>
        <w:t>24565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；省政府债券转贷收入</w:t>
      </w:r>
      <w:r>
        <w:rPr>
          <w:rFonts w:hint="eastAsia" w:ascii="仿宋_GB2312" w:hAnsi="仿宋" w:eastAsia="仿宋_GB2312" w:cs="仿宋"/>
          <w:color w:val="auto"/>
          <w:spacing w:val="-4"/>
          <w:sz w:val="32"/>
          <w:szCs w:val="32"/>
          <w:highlight w:val="none"/>
          <w:lang w:val="en-US" w:eastAsia="zh-CN"/>
        </w:rPr>
        <w:t>23229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；动用预算稳定调节基金</w:t>
      </w:r>
      <w:r>
        <w:rPr>
          <w:rFonts w:hint="eastAsia" w:ascii="仿宋_GB2312" w:hAnsi="仿宋" w:eastAsia="仿宋_GB2312" w:cs="仿宋"/>
          <w:color w:val="auto"/>
          <w:spacing w:val="-4"/>
          <w:sz w:val="32"/>
          <w:szCs w:val="32"/>
          <w:highlight w:val="none"/>
          <w:lang w:val="en-US" w:eastAsia="zh-CN"/>
        </w:rPr>
        <w:t>9377</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；上年结转</w:t>
      </w:r>
      <w:r>
        <w:rPr>
          <w:rFonts w:hint="eastAsia" w:ascii="仿宋_GB2312" w:hAnsi="仿宋" w:eastAsia="仿宋_GB2312" w:cs="仿宋"/>
          <w:color w:val="auto"/>
          <w:spacing w:val="-4"/>
          <w:sz w:val="32"/>
          <w:szCs w:val="32"/>
          <w:highlight w:val="none"/>
          <w:lang w:eastAsia="zh-CN"/>
        </w:rPr>
        <w:t>收入</w:t>
      </w:r>
      <w:r>
        <w:rPr>
          <w:rFonts w:hint="eastAsia" w:ascii="仿宋_GB2312" w:hAnsi="仿宋" w:eastAsia="仿宋_GB2312" w:cs="仿宋"/>
          <w:color w:val="auto"/>
          <w:spacing w:val="-4"/>
          <w:sz w:val="32"/>
          <w:szCs w:val="32"/>
          <w:highlight w:val="none"/>
          <w:lang w:val="en-US" w:eastAsia="zh-CN"/>
        </w:rPr>
        <w:t>17329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；调入资金</w:t>
      </w:r>
      <w:r>
        <w:rPr>
          <w:rFonts w:hint="eastAsia" w:ascii="仿宋_GB2312" w:hAnsi="仿宋" w:eastAsia="仿宋_GB2312" w:cs="仿宋"/>
          <w:color w:val="auto"/>
          <w:spacing w:val="-4"/>
          <w:sz w:val="32"/>
          <w:szCs w:val="32"/>
          <w:highlight w:val="none"/>
          <w:lang w:val="en-US" w:eastAsia="zh-CN"/>
        </w:rPr>
        <w:t>29907</w:t>
      </w:r>
      <w:r>
        <w:rPr>
          <w:rFonts w:hint="eastAsia" w:ascii="仿宋_GB2312" w:hAnsi="仿宋" w:eastAsia="仿宋_GB2312" w:cs="仿宋"/>
          <w:color w:val="auto"/>
          <w:spacing w:val="-4"/>
          <w:sz w:val="32"/>
          <w:szCs w:val="32"/>
          <w:highlight w:val="none"/>
        </w:rPr>
        <w:t>万元。</w:t>
      </w:r>
      <w:r>
        <w:rPr>
          <w:rFonts w:hint="eastAsia" w:ascii="仿宋_GB2312" w:hAnsi="仿宋" w:eastAsia="仿宋_GB2312" w:cs="仿宋"/>
          <w:color w:val="auto"/>
          <w:sz w:val="32"/>
          <w:szCs w:val="32"/>
          <w:highlight w:val="none"/>
        </w:rPr>
        <w:t>一般</w:t>
      </w:r>
      <w:r>
        <w:rPr>
          <w:rFonts w:hint="eastAsia" w:ascii="仿宋_GB2312" w:hAnsi="仿宋" w:eastAsia="仿宋_GB2312" w:cs="仿宋"/>
          <w:color w:val="auto"/>
          <w:spacing w:val="-4"/>
          <w:sz w:val="32"/>
          <w:szCs w:val="32"/>
          <w:highlight w:val="none"/>
        </w:rPr>
        <w:t>公共预算支出总量</w:t>
      </w:r>
      <w:r>
        <w:rPr>
          <w:rFonts w:hint="eastAsia" w:ascii="仿宋_GB2312" w:hAnsi="仿宋" w:eastAsia="仿宋_GB2312" w:cs="仿宋"/>
          <w:color w:val="auto"/>
          <w:spacing w:val="-4"/>
          <w:sz w:val="32"/>
          <w:szCs w:val="32"/>
          <w:highlight w:val="none"/>
          <w:lang w:val="en-US" w:eastAsia="zh-CN"/>
        </w:rPr>
        <w:t>344402</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，其中：地方一般公共预算支出</w:t>
      </w:r>
      <w:r>
        <w:rPr>
          <w:rFonts w:hint="eastAsia" w:ascii="仿宋_GB2312" w:hAnsi="仿宋" w:eastAsia="仿宋_GB2312" w:cs="仿宋"/>
          <w:color w:val="auto"/>
          <w:spacing w:val="-4"/>
          <w:sz w:val="32"/>
          <w:szCs w:val="32"/>
          <w:highlight w:val="none"/>
          <w:lang w:val="en-US" w:eastAsia="zh-CN"/>
        </w:rPr>
        <w:t>313004</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债务还本支出</w:t>
      </w:r>
      <w:r>
        <w:rPr>
          <w:rFonts w:hint="eastAsia" w:ascii="仿宋_GB2312" w:hAnsi="仿宋" w:eastAsia="仿宋_GB2312" w:cs="仿宋"/>
          <w:color w:val="auto"/>
          <w:spacing w:val="-4"/>
          <w:sz w:val="32"/>
          <w:szCs w:val="32"/>
          <w:highlight w:val="none"/>
          <w:lang w:val="en-US" w:eastAsia="zh-CN"/>
        </w:rPr>
        <w:t>11481</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上解支出</w:t>
      </w:r>
      <w:r>
        <w:rPr>
          <w:rFonts w:hint="eastAsia" w:ascii="仿宋_GB2312" w:hAnsi="仿宋" w:eastAsia="仿宋_GB2312" w:cs="仿宋"/>
          <w:color w:val="auto"/>
          <w:spacing w:val="-4"/>
          <w:sz w:val="32"/>
          <w:szCs w:val="32"/>
          <w:highlight w:val="none"/>
          <w:lang w:val="en-US" w:eastAsia="zh-CN"/>
        </w:rPr>
        <w:t>15285</w:t>
      </w:r>
      <w:r>
        <w:rPr>
          <w:rFonts w:hint="eastAsia" w:ascii="仿宋_GB2312" w:hAnsi="仿宋" w:eastAsia="仿宋_GB2312" w:cs="仿宋"/>
          <w:color w:val="auto"/>
          <w:spacing w:val="-4"/>
          <w:sz w:val="32"/>
          <w:szCs w:val="32"/>
          <w:highlight w:val="none"/>
          <w:lang w:eastAsia="zh-CN"/>
        </w:rPr>
        <w:t>万元，安排</w:t>
      </w:r>
      <w:r>
        <w:rPr>
          <w:rFonts w:hint="eastAsia" w:ascii="仿宋_GB2312" w:hAnsi="仿宋" w:eastAsia="仿宋_GB2312" w:cs="仿宋"/>
          <w:color w:val="auto"/>
          <w:spacing w:val="-4"/>
          <w:sz w:val="32"/>
          <w:szCs w:val="32"/>
          <w:highlight w:val="none"/>
        </w:rPr>
        <w:t>预算稳定调节基金</w:t>
      </w:r>
      <w:r>
        <w:rPr>
          <w:rFonts w:hint="eastAsia" w:ascii="仿宋_GB2312" w:hAnsi="仿宋" w:eastAsia="仿宋_GB2312" w:cs="仿宋"/>
          <w:color w:val="auto"/>
          <w:spacing w:val="-4"/>
          <w:sz w:val="32"/>
          <w:szCs w:val="32"/>
          <w:highlight w:val="none"/>
          <w:lang w:val="en-US" w:eastAsia="zh-CN"/>
        </w:rPr>
        <w:t>4632</w:t>
      </w:r>
      <w:r>
        <w:rPr>
          <w:rFonts w:hint="eastAsia" w:ascii="仿宋_GB2312" w:hAnsi="仿宋" w:eastAsia="仿宋_GB2312" w:cs="仿宋"/>
          <w:color w:val="auto"/>
          <w:spacing w:val="-4"/>
          <w:sz w:val="32"/>
          <w:szCs w:val="32"/>
          <w:highlight w:val="none"/>
        </w:rPr>
        <w:t>万元。</w:t>
      </w:r>
      <w:r>
        <w:rPr>
          <w:rFonts w:hint="eastAsia" w:ascii="仿宋_GB2312" w:hAnsi="仿宋" w:eastAsia="仿宋_GB2312" w:cs="仿宋"/>
          <w:color w:val="auto"/>
          <w:sz w:val="32"/>
          <w:szCs w:val="32"/>
          <w:highlight w:val="none"/>
        </w:rPr>
        <w:t>收支相抵，结转下年支出</w:t>
      </w:r>
      <w:r>
        <w:rPr>
          <w:rFonts w:hint="eastAsia" w:ascii="仿宋_GB2312" w:hAnsi="仿宋" w:eastAsia="仿宋_GB2312" w:cs="仿宋"/>
          <w:color w:val="auto"/>
          <w:sz w:val="32"/>
          <w:szCs w:val="32"/>
          <w:highlight w:val="none"/>
          <w:lang w:val="en-US" w:eastAsia="zh-CN"/>
        </w:rPr>
        <w:t>32383</w:t>
      </w:r>
      <w:r>
        <w:rPr>
          <w:rFonts w:hint="eastAsia" w:ascii="仿宋_GB2312" w:hAnsi="仿宋" w:eastAsia="仿宋_GB2312" w:cs="仿宋"/>
          <w:color w:val="auto"/>
          <w:sz w:val="32"/>
          <w:szCs w:val="32"/>
          <w:highlight w:val="none"/>
          <w:lang w:eastAsia="zh-CN"/>
        </w:rPr>
        <w:t>万元。</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（二）政府性基金预算执行情况</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本级政府性基金收入完成</w:t>
      </w:r>
      <w:r>
        <w:rPr>
          <w:rFonts w:hint="eastAsia" w:ascii="仿宋_GB2312" w:hAnsi="仿宋" w:eastAsia="仿宋_GB2312" w:cs="仿宋"/>
          <w:color w:val="auto"/>
          <w:kern w:val="0"/>
          <w:sz w:val="32"/>
          <w:szCs w:val="32"/>
          <w:highlight w:val="none"/>
          <w:lang w:val="en-US" w:eastAsia="zh-CN"/>
        </w:rPr>
        <w:t>75710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分项目完成情况为：</w:t>
      </w:r>
      <w:r>
        <w:rPr>
          <w:rFonts w:hint="eastAsia" w:ascii="仿宋_GB2312" w:hAnsi="仿宋" w:eastAsia="仿宋_GB2312" w:cs="仿宋"/>
          <w:color w:val="auto"/>
          <w:kern w:val="0"/>
          <w:sz w:val="32"/>
          <w:szCs w:val="32"/>
          <w:highlight w:val="none"/>
          <w:lang w:eastAsia="zh-CN"/>
        </w:rPr>
        <w:t>国有土地收益基金收入完成</w:t>
      </w:r>
      <w:r>
        <w:rPr>
          <w:rFonts w:hint="eastAsia" w:ascii="仿宋_GB2312" w:hAnsi="仿宋" w:eastAsia="仿宋_GB2312" w:cs="仿宋"/>
          <w:color w:val="auto"/>
          <w:kern w:val="0"/>
          <w:sz w:val="32"/>
          <w:szCs w:val="32"/>
          <w:highlight w:val="none"/>
          <w:lang w:val="en-US" w:eastAsia="zh-CN"/>
        </w:rPr>
        <w:t>1474万元，完成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74.3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国有土地使用权出让收入完成</w:t>
      </w:r>
      <w:r>
        <w:rPr>
          <w:rFonts w:hint="eastAsia" w:ascii="仿宋_GB2312" w:hAnsi="仿宋" w:eastAsia="仿宋_GB2312" w:cs="仿宋"/>
          <w:color w:val="auto"/>
          <w:kern w:val="0"/>
          <w:sz w:val="32"/>
          <w:szCs w:val="32"/>
          <w:highlight w:val="none"/>
          <w:lang w:val="en-US" w:eastAsia="zh-CN"/>
        </w:rPr>
        <w:t>55345</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99.6</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城市基础设施配套费收入完成</w:t>
      </w:r>
      <w:r>
        <w:rPr>
          <w:rFonts w:hint="eastAsia" w:ascii="仿宋_GB2312" w:hAnsi="仿宋" w:eastAsia="仿宋_GB2312" w:cs="仿宋"/>
          <w:color w:val="auto"/>
          <w:kern w:val="0"/>
          <w:sz w:val="32"/>
          <w:szCs w:val="32"/>
          <w:highlight w:val="none"/>
          <w:lang w:val="en-US" w:eastAsia="zh-CN"/>
        </w:rPr>
        <w:t>642</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100.9</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污水处理费收入完成</w:t>
      </w:r>
      <w:r>
        <w:rPr>
          <w:rFonts w:hint="eastAsia" w:ascii="仿宋_GB2312" w:hAnsi="仿宋" w:eastAsia="仿宋_GB2312" w:cs="仿宋"/>
          <w:color w:val="auto"/>
          <w:kern w:val="0"/>
          <w:sz w:val="32"/>
          <w:szCs w:val="32"/>
          <w:highlight w:val="none"/>
          <w:lang w:val="en-US" w:eastAsia="zh-CN"/>
        </w:rPr>
        <w:t>803</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103.6</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车辆通行费收入</w:t>
      </w:r>
      <w:r>
        <w:rPr>
          <w:rFonts w:ascii="仿宋_GB2312" w:hAnsi="仿宋" w:eastAsia="仿宋_GB2312" w:cs="仿宋"/>
          <w:color w:val="auto"/>
          <w:kern w:val="0"/>
          <w:sz w:val="32"/>
          <w:szCs w:val="32"/>
          <w:highlight w:val="none"/>
        </w:rPr>
        <w:t>完成</w:t>
      </w:r>
      <w:r>
        <w:rPr>
          <w:rFonts w:hint="eastAsia" w:ascii="仿宋_GB2312" w:hAnsi="仿宋" w:eastAsia="仿宋_GB2312" w:cs="仿宋"/>
          <w:color w:val="auto"/>
          <w:kern w:val="0"/>
          <w:sz w:val="32"/>
          <w:szCs w:val="32"/>
          <w:highlight w:val="none"/>
          <w:lang w:val="en-US" w:eastAsia="zh-CN"/>
        </w:rPr>
        <w:t>1085</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91.5</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专项债券对应项目专项收入完成</w:t>
      </w:r>
      <w:r>
        <w:rPr>
          <w:rFonts w:hint="eastAsia" w:ascii="仿宋_GB2312" w:hAnsi="仿宋" w:eastAsia="仿宋_GB2312" w:cs="仿宋"/>
          <w:color w:val="auto"/>
          <w:kern w:val="0"/>
          <w:sz w:val="32"/>
          <w:szCs w:val="32"/>
          <w:highlight w:val="none"/>
          <w:lang w:val="en-US" w:eastAsia="zh-CN"/>
        </w:rPr>
        <w:t>16361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105.4</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政府性基金支出</w:t>
      </w:r>
      <w:r>
        <w:rPr>
          <w:rFonts w:hint="eastAsia" w:ascii="仿宋_GB2312" w:hAnsi="仿宋" w:eastAsia="仿宋_GB2312" w:cs="仿宋"/>
          <w:color w:val="auto"/>
          <w:sz w:val="32"/>
          <w:szCs w:val="32"/>
          <w:highlight w:val="none"/>
          <w:lang w:val="en-US" w:eastAsia="zh-CN"/>
        </w:rPr>
        <w:t>181707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95.2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文化旅游体育与传媒支出</w:t>
      </w:r>
      <w:r>
        <w:rPr>
          <w:rFonts w:hint="eastAsia" w:ascii="仿宋_GB2312" w:hAnsi="仿宋" w:eastAsia="仿宋_GB2312" w:cs="仿宋"/>
          <w:color w:val="auto"/>
          <w:sz w:val="32"/>
          <w:szCs w:val="32"/>
          <w:highlight w:val="none"/>
          <w:lang w:val="en-US" w:eastAsia="zh-CN"/>
        </w:rPr>
        <w:t>31万元，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社会保障和就业支出</w:t>
      </w:r>
      <w:r>
        <w:rPr>
          <w:rFonts w:hint="eastAsia" w:ascii="仿宋_GB2312" w:hAnsi="仿宋" w:eastAsia="仿宋_GB2312" w:cs="仿宋"/>
          <w:color w:val="auto"/>
          <w:sz w:val="32"/>
          <w:szCs w:val="32"/>
          <w:highlight w:val="none"/>
          <w:lang w:val="en-US" w:eastAsia="zh-CN"/>
        </w:rPr>
        <w:t>5164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87.1</w:t>
      </w:r>
      <w:r>
        <w:rPr>
          <w:rFonts w:hint="eastAsia" w:ascii="仿宋_GB2312" w:hAnsi="仿宋" w:eastAsia="仿宋_GB2312" w:cs="仿宋"/>
          <w:color w:val="auto"/>
          <w:sz w:val="32"/>
          <w:szCs w:val="32"/>
          <w:highlight w:val="none"/>
        </w:rPr>
        <w:t>%；城乡社区</w:t>
      </w:r>
      <w:r>
        <w:rPr>
          <w:rFonts w:hint="eastAsia" w:ascii="仿宋_GB2312" w:hAnsi="仿宋" w:eastAsia="仿宋_GB2312" w:cs="仿宋"/>
          <w:color w:val="auto"/>
          <w:sz w:val="32"/>
          <w:szCs w:val="32"/>
          <w:highlight w:val="none"/>
          <w:lang w:eastAsia="zh-CN"/>
        </w:rPr>
        <w:t>事务</w:t>
      </w:r>
      <w:r>
        <w:rPr>
          <w:rFonts w:hint="eastAsia" w:ascii="仿宋_GB2312" w:hAnsi="仿宋" w:eastAsia="仿宋_GB2312" w:cs="仿宋"/>
          <w:color w:val="auto"/>
          <w:sz w:val="32"/>
          <w:szCs w:val="32"/>
          <w:highlight w:val="none"/>
        </w:rPr>
        <w:t>支出</w:t>
      </w:r>
      <w:r>
        <w:rPr>
          <w:rFonts w:hint="eastAsia" w:ascii="仿宋_GB2312" w:hAnsi="仿宋" w:eastAsia="仿宋_GB2312" w:cs="仿宋"/>
          <w:color w:val="auto"/>
          <w:sz w:val="32"/>
          <w:szCs w:val="32"/>
          <w:highlight w:val="none"/>
          <w:lang w:val="en-US" w:eastAsia="zh-CN"/>
        </w:rPr>
        <w:t>74305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99.8</w:t>
      </w:r>
      <w:r>
        <w:rPr>
          <w:rFonts w:hint="eastAsia" w:ascii="仿宋_GB2312" w:hAnsi="仿宋" w:eastAsia="仿宋_GB2312" w:cs="仿宋"/>
          <w:color w:val="auto"/>
          <w:sz w:val="32"/>
          <w:szCs w:val="32"/>
          <w:highlight w:val="none"/>
        </w:rPr>
        <w:t>%；农林水支出</w:t>
      </w:r>
      <w:r>
        <w:rPr>
          <w:rFonts w:hint="eastAsia" w:ascii="仿宋_GB2312" w:hAnsi="仿宋" w:eastAsia="仿宋_GB2312" w:cs="仿宋"/>
          <w:color w:val="auto"/>
          <w:sz w:val="32"/>
          <w:szCs w:val="32"/>
          <w:highlight w:val="none"/>
          <w:lang w:val="en-US" w:eastAsia="zh-CN"/>
        </w:rPr>
        <w:t>57986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87.6</w:t>
      </w:r>
      <w:r>
        <w:rPr>
          <w:rFonts w:hint="eastAsia" w:ascii="仿宋_GB2312" w:hAnsi="仿宋" w:eastAsia="仿宋_GB2312" w:cs="仿宋"/>
          <w:color w:val="auto"/>
          <w:sz w:val="32"/>
          <w:szCs w:val="32"/>
          <w:highlight w:val="none"/>
        </w:rPr>
        <w:t>%；交通运输支出</w:t>
      </w:r>
      <w:r>
        <w:rPr>
          <w:rFonts w:hint="eastAsia" w:ascii="仿宋_GB2312" w:hAnsi="仿宋" w:eastAsia="仿宋_GB2312" w:cs="仿宋"/>
          <w:color w:val="auto"/>
          <w:sz w:val="32"/>
          <w:szCs w:val="32"/>
          <w:highlight w:val="none"/>
          <w:lang w:val="en-US" w:eastAsia="zh-CN"/>
        </w:rPr>
        <w:t>1194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%；其它支出</w:t>
      </w:r>
      <w:r>
        <w:rPr>
          <w:rFonts w:hint="eastAsia" w:ascii="仿宋_GB2312" w:hAnsi="仿宋" w:eastAsia="仿宋_GB2312" w:cs="仿宋"/>
          <w:color w:val="auto"/>
          <w:sz w:val="32"/>
          <w:szCs w:val="32"/>
          <w:highlight w:val="none"/>
          <w:lang w:val="en-US" w:eastAsia="zh-CN"/>
        </w:rPr>
        <w:t>36102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99.7</w:t>
      </w:r>
      <w:r>
        <w:rPr>
          <w:rFonts w:hint="eastAsia" w:ascii="仿宋_GB2312" w:hAnsi="仿宋" w:eastAsia="仿宋_GB2312" w:cs="仿宋"/>
          <w:color w:val="auto"/>
          <w:sz w:val="32"/>
          <w:szCs w:val="32"/>
          <w:highlight w:val="none"/>
        </w:rPr>
        <w:t>%，主要是专项债券转贷资金；债务付息</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6878万元，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；债务</w:t>
      </w:r>
      <w:r>
        <w:rPr>
          <w:rFonts w:hint="eastAsia" w:ascii="仿宋_GB2312" w:hAnsi="仿宋" w:eastAsia="仿宋_GB2312" w:cs="仿宋"/>
          <w:color w:val="auto"/>
          <w:sz w:val="32"/>
          <w:szCs w:val="32"/>
          <w:highlight w:val="none"/>
        </w:rPr>
        <w:t>发行费支出</w:t>
      </w:r>
      <w:r>
        <w:rPr>
          <w:rFonts w:hint="eastAsia" w:ascii="仿宋_GB2312" w:hAnsi="仿宋" w:eastAsia="仿宋_GB2312" w:cs="仿宋"/>
          <w:color w:val="auto"/>
          <w:sz w:val="32"/>
          <w:szCs w:val="32"/>
          <w:highlight w:val="none"/>
          <w:lang w:val="en-US" w:eastAsia="zh-CN"/>
        </w:rPr>
        <w:t>47</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p>
    <w:p>
      <w:pPr>
        <w:keepNext w:val="0"/>
        <w:keepLines w:val="0"/>
        <w:pageBreakBefore w:val="0"/>
        <w:widowControl/>
        <w:kinsoku/>
        <w:wordWrap/>
        <w:overflowPunct/>
        <w:topLinePunct w:val="0"/>
        <w:autoSpaceDE/>
        <w:autoSpaceDN/>
        <w:bidi w:val="0"/>
        <w:spacing w:line="560" w:lineRule="exact"/>
        <w:ind w:firstLine="640" w:firstLineChars="200"/>
        <w:textAlignment w:val="bottom"/>
        <w:rPr>
          <w:rFonts w:ascii="仿宋_GB2312" w:hAnsi="仿宋" w:eastAsia="仿宋_GB2312" w:cs="仿宋"/>
          <w:color w:val="auto"/>
          <w:sz w:val="32"/>
          <w:szCs w:val="32"/>
          <w:highlight w:val="none"/>
        </w:rPr>
      </w:pPr>
      <w:r>
        <w:rPr>
          <w:rFonts w:hint="eastAsia" w:ascii="仿宋_GB2312" w:hAnsi="仿宋" w:eastAsia="仿宋_GB2312" w:cs="仿宋"/>
          <w:color w:val="auto"/>
          <w:kern w:val="0"/>
          <w:sz w:val="32"/>
          <w:szCs w:val="32"/>
          <w:highlight w:val="none"/>
        </w:rPr>
        <w:t>平衡情况。全县政府性基金收入总量</w:t>
      </w:r>
      <w:r>
        <w:rPr>
          <w:rFonts w:hint="eastAsia" w:ascii="仿宋_GB2312" w:hAnsi="仿宋" w:eastAsia="仿宋_GB2312" w:cs="仿宋"/>
          <w:color w:val="auto"/>
          <w:kern w:val="0"/>
          <w:sz w:val="32"/>
          <w:szCs w:val="32"/>
          <w:highlight w:val="none"/>
          <w:lang w:val="en-US" w:eastAsia="zh-CN"/>
        </w:rPr>
        <w:t>223905</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，其中：本级基金收入</w:t>
      </w:r>
      <w:r>
        <w:rPr>
          <w:rFonts w:hint="eastAsia" w:ascii="仿宋_GB2312" w:hAnsi="仿宋" w:eastAsia="仿宋_GB2312" w:cs="仿宋"/>
          <w:color w:val="auto"/>
          <w:kern w:val="0"/>
          <w:sz w:val="32"/>
          <w:szCs w:val="32"/>
          <w:highlight w:val="none"/>
          <w:lang w:val="en-US" w:eastAsia="zh-CN"/>
        </w:rPr>
        <w:t>75710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，专项转移支付收入</w:t>
      </w:r>
      <w:r>
        <w:rPr>
          <w:rFonts w:hint="eastAsia" w:ascii="仿宋_GB2312" w:hAnsi="仿宋" w:eastAsia="仿宋_GB2312" w:cs="仿宋"/>
          <w:color w:val="auto"/>
          <w:kern w:val="0"/>
          <w:sz w:val="32"/>
          <w:szCs w:val="32"/>
          <w:highlight w:val="none"/>
          <w:lang w:val="en-US" w:eastAsia="zh-CN"/>
        </w:rPr>
        <w:t>72934</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，上年结转</w:t>
      </w:r>
      <w:r>
        <w:rPr>
          <w:rFonts w:hint="eastAsia" w:ascii="仿宋_GB2312" w:hAnsi="仿宋" w:eastAsia="仿宋_GB2312" w:cs="仿宋"/>
          <w:color w:val="auto"/>
          <w:kern w:val="0"/>
          <w:sz w:val="32"/>
          <w:szCs w:val="32"/>
          <w:highlight w:val="none"/>
          <w:lang w:eastAsia="zh-CN"/>
        </w:rPr>
        <w:t>收入</w:t>
      </w:r>
      <w:r>
        <w:rPr>
          <w:rFonts w:hint="eastAsia" w:ascii="仿宋_GB2312" w:hAnsi="仿宋" w:eastAsia="仿宋_GB2312" w:cs="仿宋"/>
          <w:color w:val="auto"/>
          <w:kern w:val="0"/>
          <w:sz w:val="32"/>
          <w:szCs w:val="32"/>
          <w:highlight w:val="none"/>
          <w:lang w:val="en-US" w:eastAsia="zh-CN"/>
        </w:rPr>
        <w:t>25411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专项债券转贷收入</w:t>
      </w:r>
      <w:r>
        <w:rPr>
          <w:rFonts w:hint="eastAsia" w:ascii="仿宋_GB2312" w:hAnsi="仿宋" w:eastAsia="仿宋_GB2312" w:cs="仿宋"/>
          <w:color w:val="auto"/>
          <w:sz w:val="32"/>
          <w:szCs w:val="32"/>
          <w:highlight w:val="none"/>
          <w:lang w:val="en-US" w:eastAsia="zh-CN"/>
        </w:rPr>
        <w:t>49850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kern w:val="0"/>
          <w:sz w:val="32"/>
          <w:szCs w:val="32"/>
          <w:highlight w:val="none"/>
        </w:rPr>
        <w:t>。支出总量</w:t>
      </w:r>
      <w:r>
        <w:rPr>
          <w:rFonts w:hint="eastAsia" w:ascii="仿宋_GB2312" w:hAnsi="仿宋" w:eastAsia="仿宋_GB2312" w:cs="仿宋"/>
          <w:color w:val="auto"/>
          <w:kern w:val="0"/>
          <w:sz w:val="32"/>
          <w:szCs w:val="32"/>
          <w:highlight w:val="none"/>
          <w:lang w:val="en-US" w:eastAsia="zh-CN"/>
        </w:rPr>
        <w:t>200277</w:t>
      </w:r>
      <w:r>
        <w:rPr>
          <w:rFonts w:hint="eastAsia" w:ascii="仿宋_GB2312" w:hAnsi="仿宋" w:eastAsia="仿宋_GB2312" w:cs="仿宋"/>
          <w:color w:val="auto"/>
          <w:kern w:val="0"/>
          <w:sz w:val="32"/>
          <w:szCs w:val="32"/>
          <w:highlight w:val="none"/>
          <w:lang w:eastAsia="zh-CN"/>
        </w:rPr>
        <w:t>万元，其中：县本级支出</w:t>
      </w:r>
      <w:r>
        <w:rPr>
          <w:rFonts w:hint="eastAsia" w:ascii="仿宋_GB2312" w:hAnsi="仿宋" w:eastAsia="仿宋_GB2312" w:cs="仿宋"/>
          <w:color w:val="auto"/>
          <w:kern w:val="0"/>
          <w:sz w:val="32"/>
          <w:szCs w:val="32"/>
          <w:highlight w:val="none"/>
          <w:lang w:val="en-US" w:eastAsia="zh-CN"/>
        </w:rPr>
        <w:t>181707万元，债务还本支出14050万元，调出资金4520万元</w:t>
      </w:r>
      <w:r>
        <w:rPr>
          <w:rFonts w:hint="eastAsia" w:ascii="仿宋_GB2312" w:hAnsi="仿宋" w:eastAsia="仿宋_GB2312" w:cs="仿宋"/>
          <w:color w:val="auto"/>
          <w:kern w:val="0"/>
          <w:sz w:val="32"/>
          <w:szCs w:val="32"/>
          <w:highlight w:val="none"/>
        </w:rPr>
        <w:t>。收支相抵，结转下年</w:t>
      </w:r>
      <w:r>
        <w:rPr>
          <w:rFonts w:hint="eastAsia" w:ascii="仿宋_GB2312" w:hAnsi="仿宋" w:eastAsia="仿宋_GB2312" w:cs="仿宋"/>
          <w:color w:val="auto"/>
          <w:kern w:val="0"/>
          <w:sz w:val="32"/>
          <w:szCs w:val="32"/>
          <w:highlight w:val="none"/>
          <w:lang w:eastAsia="zh-CN"/>
        </w:rPr>
        <w:t>支出</w:t>
      </w:r>
      <w:r>
        <w:rPr>
          <w:rFonts w:hint="eastAsia" w:ascii="仿宋_GB2312" w:hAnsi="仿宋" w:eastAsia="仿宋_GB2312" w:cs="仿宋"/>
          <w:color w:val="auto"/>
          <w:kern w:val="0"/>
          <w:sz w:val="32"/>
          <w:szCs w:val="32"/>
          <w:highlight w:val="none"/>
          <w:lang w:val="en-US" w:eastAsia="zh-CN"/>
        </w:rPr>
        <w:t>23628</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（三）社会保险基金预算执行情况</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2021年企业职工养老保险基金划归省级统筹、城乡居民医疗保险基金划归市级统筹后，当年</w:t>
      </w:r>
      <w:r>
        <w:rPr>
          <w:rFonts w:hint="eastAsia" w:ascii="仿宋_GB2312" w:hAnsi="仿宋" w:eastAsia="仿宋_GB2312" w:cs="仿宋"/>
          <w:color w:val="auto"/>
          <w:sz w:val="32"/>
          <w:szCs w:val="32"/>
          <w:highlight w:val="none"/>
        </w:rPr>
        <w:t>社会保险基金总收入</w:t>
      </w:r>
      <w:r>
        <w:rPr>
          <w:rFonts w:hint="eastAsia" w:ascii="仿宋_GB2312" w:hAnsi="仿宋" w:eastAsia="仿宋_GB2312" w:cs="仿宋"/>
          <w:color w:val="auto"/>
          <w:sz w:val="32"/>
          <w:szCs w:val="32"/>
          <w:highlight w:val="none"/>
          <w:lang w:val="en-US" w:eastAsia="zh-CN"/>
        </w:rPr>
        <w:t>102633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97.1</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kern w:val="0"/>
          <w:sz w:val="32"/>
          <w:szCs w:val="32"/>
          <w:highlight w:val="none"/>
        </w:rPr>
        <w:t>上年结余</w:t>
      </w:r>
      <w:r>
        <w:rPr>
          <w:rFonts w:hint="eastAsia" w:ascii="仿宋_GB2312" w:hAnsi="仿宋" w:eastAsia="仿宋_GB2312" w:cs="仿宋"/>
          <w:color w:val="auto"/>
          <w:kern w:val="0"/>
          <w:sz w:val="32"/>
          <w:szCs w:val="32"/>
          <w:highlight w:val="none"/>
          <w:lang w:val="en-US" w:eastAsia="zh-CN"/>
        </w:rPr>
        <w:t>43140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sz w:val="32"/>
          <w:szCs w:val="32"/>
          <w:highlight w:val="none"/>
        </w:rPr>
        <w:t>当年收入</w:t>
      </w:r>
      <w:r>
        <w:rPr>
          <w:rFonts w:hint="eastAsia" w:ascii="仿宋_GB2312" w:hAnsi="仿宋" w:eastAsia="仿宋_GB2312" w:cs="仿宋"/>
          <w:color w:val="auto"/>
          <w:sz w:val="32"/>
          <w:szCs w:val="32"/>
          <w:highlight w:val="none"/>
          <w:lang w:val="en-US" w:eastAsia="zh-CN"/>
        </w:rPr>
        <w:t>59493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95</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主要</w:t>
      </w:r>
      <w:r>
        <w:rPr>
          <w:rFonts w:hint="eastAsia" w:ascii="仿宋_GB2312" w:hAnsi="仿宋" w:eastAsia="仿宋_GB2312" w:cs="仿宋"/>
          <w:color w:val="auto"/>
          <w:kern w:val="0"/>
          <w:sz w:val="32"/>
          <w:szCs w:val="32"/>
          <w:highlight w:val="none"/>
          <w:lang w:eastAsia="zh-CN"/>
        </w:rPr>
        <w:t>收入项目</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城乡居民养老保险基金收入</w:t>
      </w:r>
      <w:r>
        <w:rPr>
          <w:rFonts w:hint="eastAsia" w:ascii="仿宋_GB2312" w:hAnsi="仿宋" w:eastAsia="仿宋_GB2312" w:cs="仿宋"/>
          <w:color w:val="auto"/>
          <w:sz w:val="32"/>
          <w:szCs w:val="32"/>
          <w:highlight w:val="none"/>
          <w:lang w:val="en-US" w:eastAsia="zh-CN"/>
        </w:rPr>
        <w:t>14615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84.7</w:t>
      </w:r>
      <w:r>
        <w:rPr>
          <w:rFonts w:hint="eastAsia" w:ascii="仿宋_GB2312" w:hAnsi="仿宋" w:eastAsia="仿宋_GB2312" w:cs="仿宋"/>
          <w:color w:val="auto"/>
          <w:sz w:val="32"/>
          <w:szCs w:val="32"/>
          <w:highlight w:val="none"/>
        </w:rPr>
        <w:t>%；城镇职工医疗保险基金收入</w:t>
      </w:r>
      <w:r>
        <w:rPr>
          <w:rFonts w:hint="eastAsia" w:ascii="仿宋_GB2312" w:hAnsi="仿宋" w:eastAsia="仿宋_GB2312" w:cs="仿宋"/>
          <w:color w:val="auto"/>
          <w:sz w:val="32"/>
          <w:szCs w:val="32"/>
          <w:highlight w:val="none"/>
          <w:lang w:val="en-US" w:eastAsia="zh-CN"/>
        </w:rPr>
        <w:t>13866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107.1</w:t>
      </w:r>
      <w:r>
        <w:rPr>
          <w:rFonts w:hint="eastAsia" w:ascii="仿宋_GB2312" w:hAnsi="仿宋" w:eastAsia="仿宋_GB2312" w:cs="仿宋"/>
          <w:color w:val="auto"/>
          <w:sz w:val="32"/>
          <w:szCs w:val="32"/>
          <w:highlight w:val="none"/>
        </w:rPr>
        <w:t>%；工伤保险基金收入</w:t>
      </w:r>
      <w:r>
        <w:rPr>
          <w:rFonts w:hint="eastAsia" w:ascii="仿宋_GB2312" w:hAnsi="仿宋" w:eastAsia="仿宋_GB2312" w:cs="仿宋"/>
          <w:color w:val="auto"/>
          <w:sz w:val="32"/>
          <w:szCs w:val="32"/>
          <w:highlight w:val="none"/>
          <w:lang w:val="en-US" w:eastAsia="zh-CN"/>
        </w:rPr>
        <w:t>2102</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230.9</w:t>
      </w:r>
      <w:r>
        <w:rPr>
          <w:rFonts w:hint="eastAsia" w:ascii="仿宋_GB2312" w:hAnsi="仿宋" w:eastAsia="仿宋_GB2312" w:cs="仿宋"/>
          <w:color w:val="auto"/>
          <w:sz w:val="32"/>
          <w:szCs w:val="32"/>
          <w:highlight w:val="none"/>
        </w:rPr>
        <w:t>%；失业保险基金收入</w:t>
      </w:r>
      <w:r>
        <w:rPr>
          <w:rFonts w:hint="eastAsia" w:ascii="仿宋_GB2312" w:hAnsi="仿宋" w:eastAsia="仿宋_GB2312" w:cs="仿宋"/>
          <w:color w:val="auto"/>
          <w:sz w:val="32"/>
          <w:szCs w:val="32"/>
          <w:highlight w:val="none"/>
          <w:lang w:val="en-US" w:eastAsia="zh-CN"/>
        </w:rPr>
        <w:t>1614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100.6</w:t>
      </w:r>
      <w:r>
        <w:rPr>
          <w:rFonts w:hint="eastAsia" w:ascii="仿宋_GB2312" w:hAnsi="仿宋" w:eastAsia="仿宋_GB2312" w:cs="仿宋"/>
          <w:color w:val="auto"/>
          <w:sz w:val="32"/>
          <w:szCs w:val="32"/>
          <w:highlight w:val="none"/>
        </w:rPr>
        <w:t>%；机关事业单位养老保险基金收入</w:t>
      </w:r>
      <w:r>
        <w:rPr>
          <w:rFonts w:hint="eastAsia" w:ascii="仿宋_GB2312" w:hAnsi="仿宋" w:eastAsia="仿宋_GB2312" w:cs="仿宋"/>
          <w:color w:val="auto"/>
          <w:sz w:val="32"/>
          <w:szCs w:val="32"/>
          <w:highlight w:val="none"/>
          <w:lang w:val="en-US" w:eastAsia="zh-CN"/>
        </w:rPr>
        <w:t>27296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91.3</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eastAsia="zh-CN"/>
        </w:rPr>
        <w:t>当年</w:t>
      </w:r>
      <w:r>
        <w:rPr>
          <w:rFonts w:hint="eastAsia" w:ascii="仿宋_GB2312" w:hAnsi="仿宋" w:eastAsia="仿宋_GB2312" w:cs="仿宋"/>
          <w:color w:val="auto"/>
          <w:sz w:val="32"/>
          <w:szCs w:val="32"/>
          <w:highlight w:val="none"/>
        </w:rPr>
        <w:t>社会保险基金支出</w:t>
      </w:r>
      <w:r>
        <w:rPr>
          <w:rFonts w:hint="eastAsia" w:ascii="仿宋_GB2312" w:hAnsi="仿宋" w:eastAsia="仿宋_GB2312" w:cs="仿宋"/>
          <w:color w:val="auto"/>
          <w:sz w:val="32"/>
          <w:szCs w:val="32"/>
          <w:highlight w:val="none"/>
          <w:lang w:val="en-US" w:eastAsia="zh-CN"/>
        </w:rPr>
        <w:t>56371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105.3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kern w:val="0"/>
          <w:sz w:val="32"/>
          <w:szCs w:val="32"/>
          <w:highlight w:val="none"/>
          <w:lang w:eastAsia="zh-CN"/>
        </w:rPr>
        <w:t>主要支出项目</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城乡居民养老保险基金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10464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105.4</w:t>
      </w:r>
      <w:r>
        <w:rPr>
          <w:rFonts w:hint="eastAsia" w:ascii="仿宋_GB2312" w:hAnsi="仿宋" w:eastAsia="仿宋_GB2312" w:cs="仿宋"/>
          <w:color w:val="auto"/>
          <w:sz w:val="32"/>
          <w:szCs w:val="32"/>
          <w:highlight w:val="none"/>
        </w:rPr>
        <w:t>%；城镇职工医疗保险基金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10892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97.2</w:t>
      </w:r>
      <w:r>
        <w:rPr>
          <w:rFonts w:hint="eastAsia" w:ascii="仿宋_GB2312" w:hAnsi="仿宋" w:eastAsia="仿宋_GB2312" w:cs="仿宋"/>
          <w:color w:val="auto"/>
          <w:sz w:val="32"/>
          <w:szCs w:val="32"/>
          <w:highlight w:val="none"/>
        </w:rPr>
        <w:t>%；工伤保险基金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2472</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244.5</w:t>
      </w:r>
      <w:r>
        <w:rPr>
          <w:rFonts w:hint="eastAsia" w:ascii="仿宋_GB2312" w:hAnsi="仿宋" w:eastAsia="仿宋_GB2312" w:cs="仿宋"/>
          <w:color w:val="auto"/>
          <w:sz w:val="32"/>
          <w:szCs w:val="32"/>
          <w:highlight w:val="none"/>
        </w:rPr>
        <w:t>%；失业保险基金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1641</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110.6</w:t>
      </w:r>
      <w:r>
        <w:rPr>
          <w:rFonts w:hint="eastAsia" w:ascii="仿宋_GB2312" w:hAnsi="仿宋" w:eastAsia="仿宋_GB2312" w:cs="仿宋"/>
          <w:color w:val="auto"/>
          <w:sz w:val="32"/>
          <w:szCs w:val="32"/>
          <w:highlight w:val="none"/>
        </w:rPr>
        <w:t>%；机关事业单位养老保险基金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30902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103.4</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收支相抵，滚存结余</w:t>
      </w:r>
      <w:r>
        <w:rPr>
          <w:rFonts w:hint="eastAsia" w:ascii="仿宋_GB2312" w:hAnsi="仿宋" w:eastAsia="仿宋_GB2312" w:cs="仿宋"/>
          <w:color w:val="auto"/>
          <w:kern w:val="0"/>
          <w:sz w:val="32"/>
          <w:szCs w:val="32"/>
          <w:highlight w:val="none"/>
          <w:lang w:val="en-US" w:eastAsia="zh-CN"/>
        </w:rPr>
        <w:t>46262</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（四）</w:t>
      </w:r>
      <w:r>
        <w:rPr>
          <w:rFonts w:hint="eastAsia" w:ascii="楷体_GB2312" w:hAnsi="楷体_GB2312" w:eastAsia="楷体_GB2312" w:cs="楷体_GB2312"/>
          <w:color w:val="auto"/>
          <w:sz w:val="32"/>
          <w:szCs w:val="32"/>
          <w:highlight w:val="none"/>
        </w:rPr>
        <w:t>国有资本经营预算执行情况</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国有资本经营预算本级收入264万元，完成调整预算数的38.7%，其中：利润收入228万元，股利、股息收入36万元。上级补助收入18万元。上年结转收入4万元。预算执行数调整较大主要因收入口径发生变化。</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国有资本经营预算本级支出228万元，完成调整预算数的98.2%，其中：国有企业资本金注入228万元。调出资金36万元。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平衡情况。全县国有资本经营预算收入总量286万元，其中：县本级收入264万元，上级补助收入18万元，上年结转收入4万元。支出总量264万元，其中：县本级支出228万元，调出资金36万元。收支相抵，结转下年支出22万元。</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（五）地方政府性债务情况</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全县政府债务余额为</w:t>
      </w:r>
      <w:r>
        <w:rPr>
          <w:rFonts w:hint="eastAsia" w:ascii="仿宋_GB2312" w:hAnsi="仿宋" w:eastAsia="仿宋_GB2312" w:cs="仿宋"/>
          <w:color w:val="auto"/>
          <w:sz w:val="32"/>
          <w:szCs w:val="32"/>
          <w:highlight w:val="none"/>
          <w:lang w:val="en-US" w:eastAsia="zh-CN"/>
        </w:rPr>
        <w:t>428442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，其中一般债务</w:t>
      </w:r>
      <w:r>
        <w:rPr>
          <w:rFonts w:hint="eastAsia" w:ascii="仿宋_GB2312" w:hAnsi="仿宋" w:eastAsia="仿宋_GB2312" w:cs="仿宋"/>
          <w:color w:val="auto"/>
          <w:sz w:val="32"/>
          <w:szCs w:val="32"/>
          <w:highlight w:val="none"/>
          <w:lang w:val="en-US" w:eastAsia="zh-CN"/>
        </w:rPr>
        <w:t>200237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，专项债务</w:t>
      </w:r>
      <w:r>
        <w:rPr>
          <w:rFonts w:hint="eastAsia" w:ascii="仿宋_GB2312" w:hAnsi="仿宋" w:eastAsia="仿宋_GB2312" w:cs="仿宋"/>
          <w:color w:val="auto"/>
          <w:sz w:val="32"/>
          <w:szCs w:val="32"/>
          <w:highlight w:val="none"/>
          <w:lang w:val="en-US" w:eastAsia="zh-CN"/>
        </w:rPr>
        <w:t>228205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年当年新增政府债务</w:t>
      </w:r>
      <w:r>
        <w:rPr>
          <w:rFonts w:hint="eastAsia" w:ascii="仿宋_GB2312" w:hAnsi="仿宋" w:eastAsia="仿宋_GB2312" w:cs="仿宋"/>
          <w:color w:val="auto"/>
          <w:sz w:val="32"/>
          <w:szCs w:val="32"/>
          <w:highlight w:val="none"/>
          <w:lang w:val="en-US" w:eastAsia="zh-CN"/>
        </w:rPr>
        <w:t>49079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（一般债券</w:t>
      </w:r>
      <w:r>
        <w:rPr>
          <w:rFonts w:hint="eastAsia" w:ascii="仿宋_GB2312" w:hAnsi="仿宋" w:eastAsia="仿宋_GB2312" w:cs="仿宋"/>
          <w:color w:val="auto"/>
          <w:sz w:val="32"/>
          <w:szCs w:val="32"/>
          <w:highlight w:val="none"/>
          <w:lang w:val="en-US" w:eastAsia="zh-CN"/>
        </w:rPr>
        <w:t>13279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，专项债券</w:t>
      </w:r>
      <w:r>
        <w:rPr>
          <w:rFonts w:hint="eastAsia" w:ascii="仿宋_GB2312" w:hAnsi="仿宋" w:eastAsia="仿宋_GB2312" w:cs="仿宋"/>
          <w:color w:val="auto"/>
          <w:sz w:val="32"/>
          <w:szCs w:val="32"/>
          <w:highlight w:val="none"/>
          <w:lang w:val="en-US" w:eastAsia="zh-CN"/>
        </w:rPr>
        <w:t>35800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）。根据预算法对债务实行限额管理的规定，省财政厅核定我县202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年末债务限额为</w:t>
      </w:r>
      <w:r>
        <w:rPr>
          <w:rFonts w:hint="eastAsia" w:ascii="仿宋_GB2312" w:hAnsi="仿宋" w:eastAsia="仿宋_GB2312" w:cs="仿宋"/>
          <w:color w:val="auto"/>
          <w:sz w:val="32"/>
          <w:szCs w:val="32"/>
          <w:highlight w:val="none"/>
          <w:lang w:val="en-US" w:eastAsia="zh-CN"/>
        </w:rPr>
        <w:t>478495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，债务余额没有超出债务限额，政府债务风险</w:t>
      </w:r>
      <w:r>
        <w:rPr>
          <w:rFonts w:hint="eastAsia" w:ascii="仿宋_GB2312" w:hAnsi="仿宋" w:eastAsia="仿宋_GB2312" w:cs="仿宋"/>
          <w:color w:val="auto"/>
          <w:sz w:val="32"/>
          <w:szCs w:val="32"/>
          <w:highlight w:val="none"/>
          <w:lang w:eastAsia="zh-CN"/>
        </w:rPr>
        <w:t>稳定</w:t>
      </w:r>
      <w:r>
        <w:rPr>
          <w:rFonts w:hint="eastAsia" w:ascii="仿宋_GB2312" w:hAnsi="仿宋" w:eastAsia="仿宋_GB2312" w:cs="仿宋"/>
          <w:color w:val="auto"/>
          <w:sz w:val="32"/>
          <w:szCs w:val="32"/>
          <w:highlight w:val="none"/>
        </w:rPr>
        <w:t>可控。</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（六）202</w:t>
      </w: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rPr>
        <w:t>年财政主要工作情况</w:t>
      </w:r>
    </w:p>
    <w:p>
      <w:pPr>
        <w:keepNext w:val="0"/>
        <w:keepLines w:val="0"/>
        <w:pageBreakBefore w:val="0"/>
        <w:widowControl/>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2021年是实现第一个百年奋斗目标的收官之年，是“十四五”规划开局之年，预算执行严格按照县十八届人代会第七次会议明确的任务目标，不断完善制度机制，强化政策落实和预算约束，全力以赴抓收入，强化调度促支出，优化结构保重点，加快改革提效能，较好地服务了全县经济社会发展大局。</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1.聚焦组织收入，多管齐下增强保障能力。</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强化收入征管。积极应对经济下行压力，严格落实减税降费政策，坚持依法依规组织收入。</w:t>
      </w:r>
      <w:r>
        <w:rPr>
          <w:rFonts w:hint="eastAsia" w:ascii="仿宋_GB2312" w:hAnsi="仿宋" w:eastAsia="仿宋_GB2312" w:cs="仿宋"/>
          <w:color w:val="auto"/>
          <w:sz w:val="32"/>
          <w:szCs w:val="32"/>
          <w:highlight w:val="none"/>
          <w:lang w:val="en-US" w:eastAsia="zh-CN"/>
        </w:rPr>
        <w:t>2021年</w:t>
      </w:r>
      <w:r>
        <w:rPr>
          <w:rFonts w:hint="eastAsia" w:ascii="仿宋_GB2312" w:hAnsi="仿宋" w:eastAsia="仿宋_GB2312" w:cs="仿宋"/>
          <w:color w:val="auto"/>
          <w:sz w:val="32"/>
          <w:szCs w:val="32"/>
          <w:highlight w:val="none"/>
          <w:lang w:eastAsia="zh-CN"/>
        </w:rPr>
        <w:t>完成一般公共预算收入</w:t>
      </w:r>
      <w:r>
        <w:rPr>
          <w:rFonts w:hint="eastAsia" w:ascii="仿宋_GB2312" w:hAnsi="仿宋" w:eastAsia="仿宋_GB2312" w:cs="仿宋"/>
          <w:color w:val="auto"/>
          <w:sz w:val="32"/>
          <w:szCs w:val="32"/>
          <w:highlight w:val="none"/>
          <w:lang w:val="en-US" w:eastAsia="zh-CN"/>
        </w:rPr>
        <w:t>59028万元，超预期4028万元。</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积极向上争取资金。紧抓政策机遇，主动对接、加大力度争取中央、省资金支持。全年向上争取资金</w:t>
      </w:r>
      <w:r>
        <w:rPr>
          <w:rFonts w:hint="eastAsia" w:ascii="仿宋_GB2312" w:hAnsi="仿宋" w:eastAsia="仿宋_GB2312" w:cs="仿宋"/>
          <w:color w:val="auto"/>
          <w:sz w:val="32"/>
          <w:szCs w:val="32"/>
          <w:highlight w:val="none"/>
          <w:lang w:val="en-US" w:eastAsia="zh-CN"/>
        </w:rPr>
        <w:t>374601</w:t>
      </w:r>
      <w:r>
        <w:rPr>
          <w:rFonts w:hint="eastAsia" w:ascii="仿宋_GB2312" w:hAnsi="仿宋" w:eastAsia="仿宋_GB2312" w:cs="仿宋"/>
          <w:color w:val="auto"/>
          <w:sz w:val="32"/>
          <w:szCs w:val="32"/>
          <w:highlight w:val="none"/>
          <w:lang w:eastAsia="zh-CN"/>
        </w:rPr>
        <w:t>万元，为全县经济和社会事业发展提供有力保障，有效缓解财力缺口和政府偿债压力。</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盘活财政存量资金。加强财政资金动态监控，建立“定期清理、限期使用、超期收回”长效机制，全年共盘活财政存量资金</w:t>
      </w:r>
      <w:r>
        <w:rPr>
          <w:rFonts w:hint="eastAsia" w:ascii="仿宋_GB2312" w:hAnsi="仿宋" w:eastAsia="仿宋_GB2312" w:cs="仿宋"/>
          <w:color w:val="auto"/>
          <w:sz w:val="32"/>
          <w:szCs w:val="32"/>
          <w:highlight w:val="none"/>
          <w:lang w:val="en-US" w:eastAsia="zh-CN"/>
        </w:rPr>
        <w:t>9458.5</w:t>
      </w:r>
      <w:r>
        <w:rPr>
          <w:rFonts w:hint="eastAsia" w:ascii="仿宋_GB2312" w:hAnsi="仿宋" w:eastAsia="仿宋_GB2312" w:cs="仿宋"/>
          <w:color w:val="auto"/>
          <w:sz w:val="32"/>
          <w:szCs w:val="32"/>
          <w:highlight w:val="none"/>
          <w:lang w:eastAsia="zh-CN"/>
        </w:rPr>
        <w:t>万元,清理回收的资金主要用于为民办实事、城市基础设施建设和重点项目建设，进一步弥补公共预算财力缺口，不断增强财政保障能力。</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2.聚焦服务供给，点面共进深化民生福祉。</w:t>
      </w:r>
    </w:p>
    <w:p>
      <w:pPr>
        <w:keepNext w:val="0"/>
        <w:keepLines w:val="0"/>
        <w:pageBreakBefore w:val="0"/>
        <w:widowControl/>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不折不扣落实过“紧日子”要求，兜牢“三保”底线，增进民生福祉。压缩一般性支出，</w:t>
      </w:r>
      <w:r>
        <w:rPr>
          <w:rFonts w:hint="eastAsia" w:ascii="仿宋_GB2312" w:hAnsi="仿宋" w:eastAsia="仿宋_GB2312" w:cs="仿宋"/>
          <w:color w:val="auto"/>
          <w:sz w:val="32"/>
          <w:szCs w:val="32"/>
          <w:highlight w:val="none"/>
          <w:lang w:val="en-US" w:eastAsia="zh-CN"/>
        </w:rPr>
        <w:t>2021年</w:t>
      </w:r>
      <w:r>
        <w:rPr>
          <w:rFonts w:hint="eastAsia" w:ascii="仿宋_GB2312" w:hAnsi="仿宋" w:eastAsia="仿宋_GB2312" w:cs="仿宋"/>
          <w:color w:val="auto"/>
          <w:sz w:val="32"/>
          <w:szCs w:val="32"/>
          <w:highlight w:val="none"/>
          <w:lang w:eastAsia="zh-CN"/>
        </w:rPr>
        <w:t>一般性支出较同期下降</w:t>
      </w:r>
      <w:r>
        <w:rPr>
          <w:rFonts w:hint="eastAsia" w:ascii="仿宋_GB2312" w:hAnsi="仿宋" w:eastAsia="仿宋_GB2312" w:cs="仿宋"/>
          <w:color w:val="auto"/>
          <w:sz w:val="32"/>
          <w:szCs w:val="32"/>
          <w:highlight w:val="none"/>
          <w:lang w:val="en-US" w:eastAsia="zh-CN"/>
        </w:rPr>
        <w:t>10</w:t>
      </w:r>
      <w:r>
        <w:rPr>
          <w:rFonts w:hint="eastAsia" w:ascii="仿宋_GB2312" w:hAnsi="仿宋" w:eastAsia="仿宋_GB2312" w:cs="仿宋"/>
          <w:color w:val="auto"/>
          <w:sz w:val="32"/>
          <w:szCs w:val="32"/>
          <w:highlight w:val="none"/>
          <w:lang w:eastAsia="zh-CN"/>
        </w:rPr>
        <w:t>%以上。在财力十分有限的情况下，有保有压集中财力加大对疫情防控及“六稳”、“六保”等相关重点领域的支出保障，全年与民生密切相关的支出达</w:t>
      </w:r>
      <w:r>
        <w:rPr>
          <w:rFonts w:hint="eastAsia" w:ascii="仿宋_GB2312" w:hAnsi="仿宋" w:eastAsia="仿宋_GB2312" w:cs="仿宋"/>
          <w:color w:val="auto"/>
          <w:sz w:val="32"/>
          <w:szCs w:val="32"/>
          <w:highlight w:val="none"/>
          <w:lang w:val="en-US" w:eastAsia="zh-CN"/>
        </w:rPr>
        <w:t>244821</w:t>
      </w:r>
      <w:r>
        <w:rPr>
          <w:rFonts w:hint="eastAsia" w:ascii="仿宋_GB2312" w:hAnsi="仿宋" w:eastAsia="仿宋_GB2312" w:cs="仿宋"/>
          <w:color w:val="auto"/>
          <w:sz w:val="32"/>
          <w:szCs w:val="32"/>
          <w:highlight w:val="none"/>
          <w:lang w:eastAsia="zh-CN"/>
        </w:rPr>
        <w:t>万元，占一般公共预算支出的</w:t>
      </w:r>
      <w:r>
        <w:rPr>
          <w:rFonts w:hint="eastAsia" w:ascii="仿宋_GB2312" w:hAnsi="仿宋" w:eastAsia="仿宋_GB2312" w:cs="仿宋"/>
          <w:color w:val="auto"/>
          <w:sz w:val="32"/>
          <w:szCs w:val="32"/>
          <w:highlight w:val="none"/>
          <w:lang w:val="en-US" w:eastAsia="zh-CN"/>
        </w:rPr>
        <w:t>78.2</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教育均衡发展再上新台阶。全年教育经费支出</w:t>
      </w:r>
      <w:r>
        <w:rPr>
          <w:rFonts w:hint="eastAsia" w:ascii="仿宋_GB2312" w:hAnsi="仿宋" w:eastAsia="仿宋_GB2312" w:cs="仿宋"/>
          <w:color w:val="auto"/>
          <w:sz w:val="32"/>
          <w:szCs w:val="32"/>
          <w:highlight w:val="none"/>
          <w:lang w:val="en-US" w:eastAsia="zh-CN"/>
        </w:rPr>
        <w:t>57502</w:t>
      </w:r>
      <w:r>
        <w:rPr>
          <w:rFonts w:hint="eastAsia" w:ascii="仿宋_GB2312" w:hAnsi="仿宋" w:eastAsia="仿宋_GB2312" w:cs="仿宋"/>
          <w:color w:val="auto"/>
          <w:sz w:val="32"/>
          <w:szCs w:val="32"/>
          <w:highlight w:val="none"/>
          <w:lang w:eastAsia="zh-CN"/>
        </w:rPr>
        <w:t>万元，比去年同期增支</w:t>
      </w:r>
      <w:r>
        <w:rPr>
          <w:rFonts w:hint="eastAsia" w:ascii="仿宋_GB2312" w:hAnsi="仿宋" w:eastAsia="仿宋_GB2312" w:cs="仿宋"/>
          <w:color w:val="auto"/>
          <w:sz w:val="32"/>
          <w:szCs w:val="32"/>
          <w:highlight w:val="none"/>
          <w:lang w:val="en-US" w:eastAsia="zh-CN"/>
        </w:rPr>
        <w:t>1028</w:t>
      </w:r>
      <w:r>
        <w:rPr>
          <w:rFonts w:hint="eastAsia" w:ascii="仿宋_GB2312" w:hAnsi="仿宋" w:eastAsia="仿宋_GB2312" w:cs="仿宋"/>
          <w:color w:val="auto"/>
          <w:sz w:val="32"/>
          <w:szCs w:val="32"/>
          <w:highlight w:val="none"/>
          <w:lang w:eastAsia="zh-CN"/>
        </w:rPr>
        <w:t>万元，增长</w:t>
      </w:r>
      <w:r>
        <w:rPr>
          <w:rFonts w:hint="eastAsia" w:ascii="仿宋_GB2312" w:hAnsi="仿宋" w:eastAsia="仿宋_GB2312" w:cs="仿宋"/>
          <w:color w:val="auto"/>
          <w:sz w:val="32"/>
          <w:szCs w:val="32"/>
          <w:highlight w:val="none"/>
          <w:lang w:val="en-US" w:eastAsia="zh-CN"/>
        </w:rPr>
        <w:t>1.8</w:t>
      </w:r>
      <w:r>
        <w:rPr>
          <w:rFonts w:hint="eastAsia" w:ascii="仿宋_GB2312" w:hAnsi="仿宋" w:eastAsia="仿宋_GB2312" w:cs="仿宋"/>
          <w:color w:val="auto"/>
          <w:sz w:val="32"/>
          <w:szCs w:val="32"/>
          <w:highlight w:val="none"/>
          <w:lang w:eastAsia="zh-CN"/>
        </w:rPr>
        <w:t>%，占一般公共预算支出比重为</w:t>
      </w:r>
      <w:r>
        <w:rPr>
          <w:rFonts w:hint="eastAsia" w:ascii="仿宋_GB2312" w:hAnsi="仿宋" w:eastAsia="仿宋_GB2312" w:cs="仿宋"/>
          <w:color w:val="auto"/>
          <w:sz w:val="32"/>
          <w:szCs w:val="32"/>
          <w:highlight w:val="none"/>
          <w:lang w:val="en-US" w:eastAsia="zh-CN"/>
        </w:rPr>
        <w:t>18.3</w:t>
      </w:r>
      <w:r>
        <w:rPr>
          <w:rFonts w:hint="eastAsia" w:ascii="仿宋_GB2312" w:hAnsi="仿宋" w:eastAsia="仿宋_GB2312" w:cs="仿宋"/>
          <w:color w:val="auto"/>
          <w:sz w:val="32"/>
          <w:szCs w:val="32"/>
          <w:highlight w:val="none"/>
          <w:lang w:eastAsia="zh-CN"/>
        </w:rPr>
        <w:t>%。落实学前教育资助、义务教育家庭经济困难学生生活费补助等国家政策性资助资金1693.7万元，实现“应助尽助”。</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公共卫生体系建设有了新提升。全年卫生健康支出</w:t>
      </w:r>
      <w:r>
        <w:rPr>
          <w:rFonts w:hint="eastAsia" w:ascii="仿宋_GB2312" w:hAnsi="仿宋" w:eastAsia="仿宋_GB2312" w:cs="仿宋"/>
          <w:color w:val="auto"/>
          <w:sz w:val="32"/>
          <w:szCs w:val="32"/>
          <w:highlight w:val="none"/>
          <w:lang w:val="en-US" w:eastAsia="zh-CN"/>
        </w:rPr>
        <w:t>41618</w:t>
      </w:r>
      <w:r>
        <w:rPr>
          <w:rFonts w:hint="eastAsia" w:ascii="仿宋_GB2312" w:hAnsi="仿宋" w:eastAsia="仿宋_GB2312" w:cs="仿宋"/>
          <w:color w:val="auto"/>
          <w:sz w:val="32"/>
          <w:szCs w:val="32"/>
          <w:highlight w:val="none"/>
          <w:lang w:eastAsia="zh-CN"/>
        </w:rPr>
        <w:t>万元，坚持人民至上、生命至上，</w:t>
      </w:r>
      <w:r>
        <w:rPr>
          <w:rFonts w:hint="eastAsia" w:ascii="仿宋_GB2312" w:hAnsi="仿宋_GB2312" w:eastAsia="仿宋_GB2312" w:cs="仿宋_GB2312"/>
          <w:color w:val="auto"/>
          <w:sz w:val="32"/>
          <w:szCs w:val="32"/>
          <w:highlight w:val="none"/>
        </w:rPr>
        <w:t>安排疫情防控资金2552.6万元，保障常态化疫情防控资金需求</w:t>
      </w:r>
      <w:r>
        <w:rPr>
          <w:rFonts w:hint="eastAsia" w:ascii="仿宋_GB2312" w:hAnsi="仿宋" w:eastAsia="仿宋_GB2312" w:cs="仿宋"/>
          <w:color w:val="auto"/>
          <w:sz w:val="32"/>
          <w:szCs w:val="32"/>
          <w:highlight w:val="none"/>
          <w:lang w:eastAsia="zh-CN"/>
        </w:rPr>
        <w:t>。投入</w:t>
      </w:r>
      <w:r>
        <w:rPr>
          <w:rFonts w:hint="eastAsia" w:ascii="仿宋_GB2312" w:hAnsi="仿宋" w:eastAsia="仿宋_GB2312" w:cs="仿宋"/>
          <w:color w:val="auto"/>
          <w:sz w:val="32"/>
          <w:szCs w:val="32"/>
          <w:highlight w:val="none"/>
          <w:lang w:val="en-US" w:eastAsia="zh-CN"/>
        </w:rPr>
        <w:t>6246.6</w:t>
      </w:r>
      <w:r>
        <w:rPr>
          <w:rFonts w:hint="eastAsia" w:ascii="仿宋_GB2312" w:hAnsi="仿宋" w:eastAsia="仿宋_GB2312" w:cs="仿宋"/>
          <w:color w:val="auto"/>
          <w:sz w:val="32"/>
          <w:szCs w:val="32"/>
          <w:highlight w:val="none"/>
          <w:lang w:eastAsia="zh-CN"/>
        </w:rPr>
        <w:t>万元落实县乡公立医院运营补助，改善基层医疗卫生条件；投入</w:t>
      </w:r>
      <w:r>
        <w:rPr>
          <w:rFonts w:hint="eastAsia" w:ascii="仿宋_GB2312" w:hAnsi="仿宋" w:eastAsia="仿宋_GB2312" w:cs="仿宋"/>
          <w:color w:val="auto"/>
          <w:sz w:val="32"/>
          <w:szCs w:val="32"/>
          <w:highlight w:val="none"/>
          <w:lang w:val="en-US" w:eastAsia="zh-CN"/>
        </w:rPr>
        <w:t>2902.8</w:t>
      </w:r>
      <w:r>
        <w:rPr>
          <w:rFonts w:hint="eastAsia" w:ascii="仿宋_GB2312" w:hAnsi="仿宋" w:eastAsia="仿宋_GB2312" w:cs="仿宋"/>
          <w:color w:val="auto"/>
          <w:sz w:val="32"/>
          <w:szCs w:val="32"/>
          <w:highlight w:val="none"/>
          <w:lang w:eastAsia="zh-CN"/>
        </w:rPr>
        <w:t>万元，用于提升公共卫生服务效能，提高应对突发公共卫生事件和重大疾病的防控能力，保障居民享受更好的基本公共卫生服务。</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社会保障体系建设取得新进展。全年社会保障支出</w:t>
      </w:r>
      <w:r>
        <w:rPr>
          <w:rFonts w:hint="eastAsia" w:ascii="仿宋_GB2312" w:hAnsi="仿宋" w:eastAsia="仿宋_GB2312" w:cs="仿宋"/>
          <w:color w:val="auto"/>
          <w:sz w:val="32"/>
          <w:szCs w:val="32"/>
          <w:highlight w:val="none"/>
          <w:lang w:val="en-US" w:eastAsia="zh-CN"/>
        </w:rPr>
        <w:t>45557</w:t>
      </w:r>
      <w:r>
        <w:rPr>
          <w:rFonts w:hint="eastAsia" w:ascii="仿宋_GB2312" w:hAnsi="仿宋" w:eastAsia="仿宋_GB2312" w:cs="仿宋"/>
          <w:color w:val="auto"/>
          <w:sz w:val="32"/>
          <w:szCs w:val="32"/>
          <w:highlight w:val="none"/>
          <w:lang w:eastAsia="zh-CN"/>
        </w:rPr>
        <w:t>万元，发放就业补贴资金2345.7万元，失业保险金650万元，代缴医疗保险259万元。新增技能提升补贴454万元，有效解决了就业难题。养老保险待遇进一步提高，自2021年1月起，城乡居民基础养老金由原来108元调整至115元。困难群众生活日益改善，累计发放社会救助资金8311.4万元，资助特困人员及脱贫人员1057万元参保城乡居民医保。</w:t>
      </w:r>
      <w:r>
        <w:rPr>
          <w:rFonts w:hint="eastAsia" w:ascii="仿宋_GB2312" w:hAnsi="仿宋" w:eastAsia="仿宋_GB2312" w:cs="仿宋"/>
          <w:b/>
          <w:bCs/>
          <w:color w:val="auto"/>
          <w:sz w:val="32"/>
          <w:szCs w:val="32"/>
          <w:highlight w:val="none"/>
          <w:lang w:eastAsia="zh-CN"/>
        </w:rPr>
        <w:t>四是</w:t>
      </w:r>
      <w:r>
        <w:rPr>
          <w:rFonts w:hint="eastAsia" w:ascii="仿宋_GB2312" w:hAnsi="仿宋" w:eastAsia="仿宋_GB2312" w:cs="仿宋"/>
          <w:color w:val="auto"/>
          <w:sz w:val="32"/>
          <w:szCs w:val="32"/>
          <w:highlight w:val="none"/>
          <w:lang w:eastAsia="zh-CN"/>
        </w:rPr>
        <w:t>文化旅游事业发展取得新成就。大力支持文化旅游发展，安排端午节专项资金300万元、旅游专项资金500万元，为屈原故里端午文化节活动、全域旅游示范区创建提供资金保障，为市级争创“文明典范城市”作出贡献。</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3.聚焦重点难点，集中力量持续克难攻坚。</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全面推进乡村振兴。财政全年共投入农林水资金达</w:t>
      </w:r>
      <w:r>
        <w:rPr>
          <w:rFonts w:hint="eastAsia" w:ascii="仿宋_GB2312" w:hAnsi="仿宋" w:eastAsia="仿宋_GB2312" w:cs="仿宋"/>
          <w:color w:val="auto"/>
          <w:sz w:val="32"/>
          <w:szCs w:val="32"/>
          <w:highlight w:val="none"/>
          <w:lang w:val="en-US" w:eastAsia="zh-CN"/>
        </w:rPr>
        <w:t>60632</w:t>
      </w:r>
      <w:r>
        <w:rPr>
          <w:rFonts w:hint="eastAsia" w:ascii="仿宋_GB2312" w:hAnsi="仿宋" w:eastAsia="仿宋_GB2312" w:cs="仿宋"/>
          <w:color w:val="auto"/>
          <w:sz w:val="32"/>
          <w:szCs w:val="32"/>
          <w:highlight w:val="none"/>
          <w:lang w:eastAsia="zh-CN"/>
        </w:rPr>
        <w:t>万元，用于支持巩固拓展脱贫攻坚成果同乡村振兴有效衔接，以“产业兴旺、生态宜居、乡风文明、治理有效、生活富裕”为导向，促进农民增收，农业增效、农村美丽。</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深入开展污染防治。践行绿水青山就是金山银山理念，全年安排环境污染治理资金</w:t>
      </w:r>
      <w:r>
        <w:rPr>
          <w:rFonts w:hint="eastAsia" w:ascii="仿宋_GB2312" w:hAnsi="仿宋" w:eastAsia="仿宋_GB2312" w:cs="仿宋"/>
          <w:color w:val="auto"/>
          <w:sz w:val="32"/>
          <w:szCs w:val="32"/>
          <w:highlight w:val="none"/>
          <w:lang w:val="en-US" w:eastAsia="zh-CN"/>
        </w:rPr>
        <w:t>15000万</w:t>
      </w:r>
      <w:r>
        <w:rPr>
          <w:rFonts w:hint="eastAsia" w:ascii="仿宋_GB2312" w:hAnsi="仿宋" w:eastAsia="仿宋_GB2312" w:cs="仿宋"/>
          <w:color w:val="auto"/>
          <w:sz w:val="32"/>
          <w:szCs w:val="32"/>
          <w:highlight w:val="none"/>
          <w:lang w:eastAsia="zh-CN"/>
        </w:rPr>
        <w:t>元，生态保护与修复资金</w:t>
      </w:r>
      <w:r>
        <w:rPr>
          <w:rFonts w:hint="eastAsia" w:ascii="仿宋_GB2312" w:hAnsi="仿宋" w:eastAsia="仿宋_GB2312" w:cs="仿宋"/>
          <w:color w:val="auto"/>
          <w:sz w:val="32"/>
          <w:szCs w:val="32"/>
          <w:highlight w:val="none"/>
          <w:lang w:val="en-US" w:eastAsia="zh-CN"/>
        </w:rPr>
        <w:t>39500万</w:t>
      </w:r>
      <w:r>
        <w:rPr>
          <w:rFonts w:hint="eastAsia" w:ascii="仿宋_GB2312" w:hAnsi="仿宋" w:eastAsia="仿宋_GB2312" w:cs="仿宋"/>
          <w:color w:val="auto"/>
          <w:sz w:val="32"/>
          <w:szCs w:val="32"/>
          <w:highlight w:val="none"/>
          <w:lang w:eastAsia="zh-CN"/>
        </w:rPr>
        <w:t>元，让环境“美起来”。安排“擦亮小城镇”资金400万元，垃圾分类资金3115万元，环卫经费1760万元，让城乡“亮起来”。安排长江禁捕、河湖长制等资金2163万元，让河流“清起来”，人民群众的获得感和幸福感不断提升。</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防范化解重大风险。争取再融资债券</w:t>
      </w:r>
      <w:r>
        <w:rPr>
          <w:rFonts w:hint="eastAsia" w:ascii="仿宋_GB2312" w:hAnsi="仿宋" w:eastAsia="仿宋_GB2312" w:cs="仿宋"/>
          <w:color w:val="auto"/>
          <w:sz w:val="32"/>
          <w:szCs w:val="32"/>
          <w:highlight w:val="none"/>
          <w:lang w:val="en-US" w:eastAsia="zh-CN"/>
        </w:rPr>
        <w:t>24000</w:t>
      </w:r>
      <w:r>
        <w:rPr>
          <w:rFonts w:hint="eastAsia" w:ascii="仿宋_GB2312" w:hAnsi="仿宋" w:eastAsia="仿宋_GB2312" w:cs="仿宋"/>
          <w:color w:val="auto"/>
          <w:sz w:val="32"/>
          <w:szCs w:val="32"/>
          <w:highlight w:val="none"/>
          <w:lang w:eastAsia="zh-CN"/>
        </w:rPr>
        <w:t>万元，有效缓解了到期政府债务还债压力。当年共筹集资金偿还地方政府债务本息</w:t>
      </w:r>
      <w:r>
        <w:rPr>
          <w:rFonts w:hint="eastAsia" w:ascii="仿宋_GB2312" w:hAnsi="仿宋" w:eastAsia="仿宋_GB2312" w:cs="仿宋"/>
          <w:color w:val="auto"/>
          <w:sz w:val="32"/>
          <w:szCs w:val="32"/>
          <w:highlight w:val="none"/>
          <w:lang w:val="en-US" w:eastAsia="zh-CN"/>
        </w:rPr>
        <w:t>38689</w:t>
      </w:r>
      <w:r>
        <w:rPr>
          <w:rFonts w:hint="eastAsia" w:ascii="仿宋_GB2312" w:hAnsi="仿宋" w:eastAsia="仿宋_GB2312" w:cs="仿宋"/>
          <w:color w:val="auto"/>
          <w:sz w:val="32"/>
          <w:szCs w:val="32"/>
          <w:highlight w:val="none"/>
          <w:lang w:eastAsia="zh-CN"/>
        </w:rPr>
        <w:t>万元，其中：本金</w:t>
      </w:r>
      <w:r>
        <w:rPr>
          <w:rFonts w:hint="eastAsia" w:ascii="仿宋_GB2312" w:hAnsi="仿宋" w:eastAsia="仿宋_GB2312" w:cs="仿宋"/>
          <w:color w:val="auto"/>
          <w:sz w:val="32"/>
          <w:szCs w:val="32"/>
          <w:highlight w:val="none"/>
          <w:lang w:val="en-US" w:eastAsia="zh-CN"/>
        </w:rPr>
        <w:t>25531</w:t>
      </w:r>
      <w:r>
        <w:rPr>
          <w:rFonts w:hint="eastAsia" w:ascii="仿宋_GB2312" w:hAnsi="仿宋" w:eastAsia="仿宋_GB2312" w:cs="仿宋"/>
          <w:color w:val="auto"/>
          <w:sz w:val="32"/>
          <w:szCs w:val="32"/>
          <w:highlight w:val="none"/>
          <w:lang w:eastAsia="zh-CN"/>
        </w:rPr>
        <w:t>万元，利息</w:t>
      </w:r>
      <w:r>
        <w:rPr>
          <w:rFonts w:hint="eastAsia" w:ascii="仿宋_GB2312" w:hAnsi="仿宋" w:eastAsia="仿宋_GB2312" w:cs="仿宋"/>
          <w:color w:val="auto"/>
          <w:sz w:val="32"/>
          <w:szCs w:val="32"/>
          <w:highlight w:val="none"/>
          <w:lang w:val="en-US" w:eastAsia="zh-CN"/>
        </w:rPr>
        <w:t>13158</w:t>
      </w:r>
      <w:r>
        <w:rPr>
          <w:rFonts w:hint="eastAsia" w:ascii="仿宋_GB2312" w:hAnsi="仿宋" w:eastAsia="仿宋_GB2312" w:cs="仿宋"/>
          <w:color w:val="auto"/>
          <w:sz w:val="32"/>
          <w:szCs w:val="32"/>
          <w:highlight w:val="none"/>
          <w:lang w:eastAsia="zh-CN"/>
        </w:rPr>
        <w:t>万元。争取新增债券资金</w:t>
      </w:r>
      <w:r>
        <w:rPr>
          <w:rFonts w:hint="eastAsia" w:ascii="仿宋_GB2312" w:hAnsi="仿宋" w:eastAsia="仿宋_GB2312" w:cs="仿宋"/>
          <w:color w:val="auto"/>
          <w:sz w:val="32"/>
          <w:szCs w:val="32"/>
          <w:highlight w:val="none"/>
          <w:lang w:val="en-US" w:eastAsia="zh-CN"/>
        </w:rPr>
        <w:t>49079万元有效促进了康养园、天问文化广场、曲溪污水处理厂等重点项目建设。</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4.聚焦纾困惠企，多措并举推动经济发展。</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大力支持县域经济发展。全年累计兑现46家企业“小进限”、“小进规”、“园区孵化”、“外贸出口”奖励资金603.5万元，落实中小微企业创业园租房补贴243.8万元，兑现上级涉企各类奖励补贴资金1762.8万元。</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全面落实减税降费政策。精准编制并主动向社会发布《2021年秭归县县级政府非税收入目录清单》，确保减税降费各项政策及时落实。2021年新增减税5927万元，累计取消、暂停征收、对小微企业免收、降低标准等降费项目73个，减轻市场主体费用负担2392万元，减免市场主体房租500万元。</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积极落实普惠金融政策。发放创业担保贷款1003笔，贷款金额</w:t>
      </w:r>
      <w:r>
        <w:rPr>
          <w:rFonts w:hint="eastAsia" w:ascii="仿宋_GB2312" w:hAnsi="仿宋" w:eastAsia="仿宋_GB2312" w:cs="仿宋"/>
          <w:color w:val="auto"/>
          <w:sz w:val="32"/>
          <w:szCs w:val="32"/>
          <w:highlight w:val="none"/>
          <w:lang w:val="en-US" w:eastAsia="zh-CN"/>
        </w:rPr>
        <w:t>31700万元</w:t>
      </w:r>
      <w:r>
        <w:rPr>
          <w:rFonts w:hint="eastAsia" w:ascii="仿宋_GB2312" w:hAnsi="仿宋" w:eastAsia="仿宋_GB2312" w:cs="仿宋"/>
          <w:color w:val="auto"/>
          <w:sz w:val="32"/>
          <w:szCs w:val="32"/>
          <w:highlight w:val="none"/>
          <w:lang w:eastAsia="zh-CN"/>
        </w:rPr>
        <w:t>，拨付财政贴息资金7451.2万元。安排科学技术研究、科技专项等资金335万元，大力支持企业进行技术改造和科技创新。加大招商引资工作力度，兑现招商引资企业政策资金</w:t>
      </w:r>
      <w:r>
        <w:rPr>
          <w:rFonts w:hint="eastAsia" w:ascii="仿宋_GB2312" w:hAnsi="仿宋" w:eastAsia="仿宋_GB2312" w:cs="仿宋"/>
          <w:color w:val="auto"/>
          <w:sz w:val="32"/>
          <w:szCs w:val="32"/>
          <w:highlight w:val="none"/>
          <w:lang w:val="en-US" w:eastAsia="zh-CN"/>
        </w:rPr>
        <w:t>4309.1</w:t>
      </w:r>
      <w:r>
        <w:rPr>
          <w:rFonts w:hint="eastAsia" w:ascii="仿宋_GB2312" w:hAnsi="仿宋" w:eastAsia="仿宋_GB2312" w:cs="仿宋"/>
          <w:color w:val="auto"/>
          <w:sz w:val="32"/>
          <w:szCs w:val="32"/>
          <w:highlight w:val="none"/>
          <w:lang w:eastAsia="zh-CN"/>
        </w:rPr>
        <w:t>万元。</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5.聚焦改革创新，不断提升财政管理水平。</w:t>
      </w:r>
    </w:p>
    <w:p>
      <w:pPr>
        <w:keepNext w:val="0"/>
        <w:keepLines w:val="0"/>
        <w:pageBreakBefore w:val="0"/>
        <w:kinsoku/>
        <w:wordWrap/>
        <w:overflowPunct/>
        <w:topLinePunct w:val="0"/>
        <w:autoSpaceDE/>
        <w:autoSpaceDN/>
        <w:bidi w:val="0"/>
        <w:spacing w:line="560" w:lineRule="exact"/>
        <w:ind w:firstLine="643" w:firstLineChars="200"/>
        <w:rPr>
          <w:rFonts w:ascii="仿宋_GB2312" w:hAnsi="楷体_GB2312" w:eastAsia="仿宋_GB2312" w:cs="楷体_GB2312"/>
          <w:color w:val="auto"/>
          <w:sz w:val="32"/>
          <w:szCs w:val="32"/>
          <w:highlight w:val="none"/>
        </w:rPr>
      </w:pPr>
      <w:r>
        <w:rPr>
          <w:rFonts w:hint="eastAsia" w:ascii="仿宋_GB2312" w:hAnsi="黑体" w:eastAsia="仿宋_GB2312"/>
          <w:b/>
          <w:bCs/>
          <w:color w:val="auto"/>
          <w:sz w:val="32"/>
          <w:szCs w:val="32"/>
          <w:highlight w:val="none"/>
        </w:rPr>
        <w:t>一是</w:t>
      </w:r>
      <w:r>
        <w:rPr>
          <w:rFonts w:hint="eastAsia" w:ascii="仿宋_GB2312" w:hAnsi="仿宋_GB2312" w:eastAsia="仿宋_GB2312" w:cs="仿宋_GB2312"/>
          <w:color w:val="auto"/>
          <w:sz w:val="32"/>
          <w:szCs w:val="32"/>
          <w:highlight w:val="none"/>
        </w:rPr>
        <w:t>积极推进预算</w:t>
      </w:r>
      <w:r>
        <w:rPr>
          <w:rFonts w:hint="eastAsia" w:ascii="仿宋_GB2312" w:hAnsi="仿宋_GB2312" w:eastAsia="仿宋_GB2312" w:cs="仿宋_GB2312"/>
          <w:color w:val="auto"/>
          <w:sz w:val="32"/>
          <w:szCs w:val="32"/>
          <w:highlight w:val="none"/>
          <w:lang w:eastAsia="zh-CN"/>
        </w:rPr>
        <w:t>管理</w:t>
      </w:r>
      <w:r>
        <w:rPr>
          <w:rFonts w:hint="eastAsia" w:ascii="仿宋_GB2312" w:hAnsi="仿宋_GB2312" w:eastAsia="仿宋_GB2312" w:cs="仿宋_GB2312"/>
          <w:color w:val="auto"/>
          <w:sz w:val="32"/>
          <w:szCs w:val="32"/>
          <w:highlight w:val="none"/>
        </w:rPr>
        <w:t>一体化建设。圆满完成预算执行模块及会计核算模块上线运行、预算编制单位全覆盖的目标。</w:t>
      </w:r>
      <w:r>
        <w:rPr>
          <w:rFonts w:hint="eastAsia" w:ascii="仿宋_GB2312" w:hAnsi="仿宋" w:eastAsia="仿宋_GB2312" w:cs="仿宋"/>
          <w:color w:val="auto"/>
          <w:sz w:val="32"/>
          <w:szCs w:val="32"/>
          <w:highlight w:val="none"/>
        </w:rPr>
        <w:t>全县各预算单位全部通过预算管理一体化系统进行资金拨付、编制2022年部门预算。</w:t>
      </w:r>
      <w:r>
        <w:rPr>
          <w:rFonts w:hint="eastAsia" w:ascii="仿宋_GB2312" w:hAnsi="仿宋" w:eastAsia="仿宋_GB2312" w:cs="仿宋"/>
          <w:b/>
          <w:bCs/>
          <w:color w:val="auto"/>
          <w:sz w:val="32"/>
          <w:szCs w:val="32"/>
          <w:highlight w:val="none"/>
        </w:rPr>
        <w:t>二是</w:t>
      </w:r>
      <w:r>
        <w:rPr>
          <w:rFonts w:hint="eastAsia" w:ascii="仿宋_GB2312" w:hAnsi="仿宋_GB2312" w:eastAsia="仿宋_GB2312" w:cs="仿宋_GB2312"/>
          <w:color w:val="auto"/>
          <w:sz w:val="32"/>
          <w:szCs w:val="32"/>
          <w:highlight w:val="none"/>
        </w:rPr>
        <w:t>强化预算绩效评价工作。</w:t>
      </w:r>
      <w:r>
        <w:rPr>
          <w:rFonts w:hint="eastAsia" w:ascii="仿宋_GB2312" w:hAnsi="仿宋" w:eastAsia="仿宋_GB2312" w:cs="仿宋"/>
          <w:color w:val="auto"/>
          <w:sz w:val="32"/>
          <w:szCs w:val="32"/>
          <w:highlight w:val="none"/>
        </w:rPr>
        <w:t>实现预算与绩效深度融合，绩效目标与部门预算同步公开</w:t>
      </w:r>
      <w:r>
        <w:rPr>
          <w:rFonts w:hint="eastAsia" w:ascii="仿宋_GB2312" w:hAnsi="仿宋_GB2312" w:eastAsia="仿宋_GB2312" w:cs="仿宋_GB2312"/>
          <w:color w:val="auto"/>
          <w:sz w:val="32"/>
          <w:szCs w:val="32"/>
          <w:highlight w:val="none"/>
        </w:rPr>
        <w:t>。高质量推动我县绩效指标标准体系建设，打造三大绩效指标标准体系</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预算绩效管理考核全省排名前十，全市第一</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b/>
          <w:bCs/>
          <w:color w:val="auto"/>
          <w:sz w:val="32"/>
          <w:szCs w:val="32"/>
          <w:highlight w:val="none"/>
        </w:rPr>
        <w:t>三是</w:t>
      </w:r>
      <w:r>
        <w:rPr>
          <w:rFonts w:hint="eastAsia" w:ascii="仿宋_GB2312" w:hAnsi="仿宋" w:eastAsia="仿宋_GB2312" w:cs="仿宋"/>
          <w:color w:val="auto"/>
          <w:sz w:val="32"/>
          <w:szCs w:val="32"/>
          <w:highlight w:val="none"/>
        </w:rPr>
        <w:t>扎实推进乡镇财政体制改革。进一步理顺县乡财政分配关系，巩固和加强基层财源建设。通过建立一系列激励性转移支付措施，鼓励乡镇培植涵养财源，充分调动各乡镇谋财聚财的积极性，不断壮大地方财政实力。</w:t>
      </w:r>
      <w:r>
        <w:rPr>
          <w:rFonts w:hint="eastAsia" w:ascii="仿宋_GB2312" w:hAnsi="仿宋" w:eastAsia="仿宋_GB2312" w:cs="仿宋"/>
          <w:b/>
          <w:bCs/>
          <w:color w:val="auto"/>
          <w:sz w:val="32"/>
          <w:szCs w:val="32"/>
          <w:highlight w:val="none"/>
        </w:rPr>
        <w:t>四是</w:t>
      </w:r>
      <w:r>
        <w:rPr>
          <w:rFonts w:hint="eastAsia" w:ascii="仿宋_GB2312" w:hAnsi="Calibri" w:eastAsia="仿宋_GB2312"/>
          <w:color w:val="auto"/>
          <w:sz w:val="32"/>
          <w:szCs w:val="32"/>
          <w:highlight w:val="none"/>
        </w:rPr>
        <w:t>稳步推进国企改革三年行动。理顺企业管理体制，加快推进改制重组</w:t>
      </w:r>
      <w:r>
        <w:rPr>
          <w:rFonts w:hint="eastAsia" w:ascii="仿宋_GB2312" w:hAnsi="Calibri" w:eastAsia="仿宋_GB2312"/>
          <w:color w:val="auto"/>
          <w:sz w:val="32"/>
          <w:szCs w:val="32"/>
          <w:highlight w:val="none"/>
          <w:lang w:eastAsia="zh-CN"/>
        </w:rPr>
        <w:t>；</w:t>
      </w:r>
      <w:r>
        <w:rPr>
          <w:rFonts w:hint="eastAsia" w:ascii="仿宋_GB2312" w:hAnsi="Calibri" w:eastAsia="仿宋_GB2312"/>
          <w:color w:val="auto"/>
          <w:sz w:val="32"/>
          <w:szCs w:val="32"/>
          <w:highlight w:val="none"/>
        </w:rPr>
        <w:t>全面完成国有企业退休人员社会化管理工作;持续推动县出资企业违规经营投资责任追究体系建设。</w:t>
      </w:r>
      <w:r>
        <w:rPr>
          <w:rFonts w:hint="eastAsia" w:ascii="仿宋_GB2312" w:hAnsi="Calibri" w:eastAsia="仿宋_GB2312"/>
          <w:b/>
          <w:bCs/>
          <w:color w:val="auto"/>
          <w:sz w:val="32"/>
          <w:szCs w:val="32"/>
          <w:highlight w:val="none"/>
          <w:lang w:eastAsia="zh-CN"/>
        </w:rPr>
        <w:t>五</w:t>
      </w:r>
      <w:r>
        <w:rPr>
          <w:rFonts w:hint="eastAsia" w:ascii="仿宋_GB2312" w:hAnsi="Calibri" w:eastAsia="仿宋_GB2312"/>
          <w:b/>
          <w:bCs/>
          <w:color w:val="auto"/>
          <w:sz w:val="32"/>
          <w:szCs w:val="32"/>
          <w:highlight w:val="none"/>
        </w:rPr>
        <w:t>是</w:t>
      </w:r>
      <w:r>
        <w:rPr>
          <w:rFonts w:hint="eastAsia" w:ascii="仿宋_GB2312" w:hAnsi="Calibri" w:eastAsia="仿宋_GB2312"/>
          <w:color w:val="auto"/>
          <w:sz w:val="32"/>
          <w:szCs w:val="32"/>
          <w:highlight w:val="none"/>
        </w:rPr>
        <w:t>深化政府采购制度改革。</w:t>
      </w:r>
      <w:r>
        <w:rPr>
          <w:rFonts w:hint="eastAsia" w:ascii="仿宋_GB2312" w:hAnsi="方正仿宋_GB2312" w:eastAsia="仿宋_GB2312" w:cs="方正仿宋_GB2312"/>
          <w:color w:val="auto"/>
          <w:sz w:val="32"/>
          <w:szCs w:val="32"/>
          <w:highlight w:val="none"/>
        </w:rPr>
        <w:t>优化政府采购营商环境</w:t>
      </w:r>
      <w:r>
        <w:rPr>
          <w:rFonts w:hint="eastAsia" w:ascii="仿宋_GB2312" w:hAnsi="方正仿宋_GB2312" w:eastAsia="仿宋_GB2312" w:cs="方正仿宋_GB2312"/>
          <w:color w:val="auto"/>
          <w:sz w:val="32"/>
          <w:szCs w:val="32"/>
          <w:highlight w:val="none"/>
          <w:lang w:eastAsia="zh-CN"/>
        </w:rPr>
        <w:t>；</w:t>
      </w:r>
      <w:r>
        <w:rPr>
          <w:rFonts w:hint="eastAsia" w:ascii="仿宋_GB2312" w:hAnsi="方正仿宋_GB2312" w:eastAsia="仿宋_GB2312" w:cs="方正仿宋_GB2312"/>
          <w:color w:val="auto"/>
          <w:sz w:val="32"/>
          <w:szCs w:val="32"/>
          <w:highlight w:val="none"/>
        </w:rPr>
        <w:t>预留份额专门面向中小企业采购、执行价格评审优惠措施，切实解决中小企业融资难、融资贵问题。</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各位代表，虽然一年来工作取得了一定成绩，但我县财政运行仍然存在着一些困难和问题：</w:t>
      </w: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财源建设不够。受国家宏观政策调控、新冠肺炎疫情的影响，财政收入持续高速恢复性增长难度加大。</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收支平衡难度加大。刚性支出不断增加，新增可用财力有限，财政收支矛盾日益突出。</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预算绩效管理仍需提升。预算执行刚性约束不强、预算调整调剂等问题不同程度存在，财政基础管理和预算管理还需要加强。</w:t>
      </w:r>
    </w:p>
    <w:p>
      <w:pPr>
        <w:keepNext w:val="0"/>
        <w:keepLines w:val="0"/>
        <w:pageBreakBefore w:val="0"/>
        <w:kinsoku/>
        <w:wordWrap/>
        <w:overflowPunct/>
        <w:topLinePunct w:val="0"/>
        <w:autoSpaceDE/>
        <w:autoSpaceDN/>
        <w:bidi w:val="0"/>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二、202</w:t>
      </w:r>
      <w:r>
        <w:rPr>
          <w:rFonts w:hint="eastAsia" w:ascii="黑体" w:hAnsi="黑体" w:eastAsia="黑体" w:cs="黑体"/>
          <w:color w:val="auto"/>
          <w:sz w:val="32"/>
          <w:szCs w:val="32"/>
          <w:highlight w:val="none"/>
          <w:lang w:val="en-US" w:eastAsia="zh-CN"/>
        </w:rPr>
        <w:t>2</w:t>
      </w:r>
      <w:r>
        <w:rPr>
          <w:rFonts w:hint="eastAsia" w:ascii="黑体" w:hAnsi="黑体" w:eastAsia="黑体" w:cs="黑体"/>
          <w:color w:val="auto"/>
          <w:sz w:val="32"/>
          <w:szCs w:val="32"/>
          <w:highlight w:val="none"/>
        </w:rPr>
        <w:t>年预算草案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w:t>
      </w:r>
      <w:r>
        <w:rPr>
          <w:rFonts w:hint="eastAsia" w:ascii="楷体_GB2312" w:hAnsi="楷体_GB2312" w:eastAsia="楷体_GB2312" w:cs="楷体_GB2312"/>
          <w:color w:val="auto"/>
          <w:sz w:val="32"/>
          <w:szCs w:val="32"/>
          <w:highlight w:val="none"/>
          <w:lang w:eastAsia="zh-CN"/>
        </w:rPr>
        <w:t>预算编制的</w:t>
      </w:r>
      <w:r>
        <w:rPr>
          <w:rFonts w:hint="eastAsia" w:ascii="楷体_GB2312" w:hAnsi="楷体_GB2312" w:eastAsia="楷体_GB2312" w:cs="楷体_GB2312"/>
          <w:color w:val="auto"/>
          <w:sz w:val="32"/>
          <w:szCs w:val="32"/>
          <w:highlight w:val="none"/>
        </w:rPr>
        <w:t>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以习近平新时代中国特色社会主义思想为指导，</w:t>
      </w:r>
      <w:r>
        <w:rPr>
          <w:rFonts w:hint="eastAsia" w:ascii="仿宋_GB2312" w:hAnsi="仿宋_GB2312" w:eastAsia="仿宋_GB2312" w:cs="仿宋_GB2312"/>
          <w:color w:val="auto"/>
          <w:sz w:val="32"/>
          <w:szCs w:val="32"/>
          <w:highlight w:val="none"/>
          <w:lang w:eastAsia="zh-CN"/>
        </w:rPr>
        <w:t>学习</w:t>
      </w:r>
      <w:r>
        <w:rPr>
          <w:rFonts w:hint="eastAsia" w:ascii="仿宋_GB2312" w:hAnsi="仿宋_GB2312" w:eastAsia="仿宋_GB2312" w:cs="仿宋_GB2312"/>
          <w:color w:val="auto"/>
          <w:sz w:val="32"/>
          <w:szCs w:val="32"/>
          <w:highlight w:val="none"/>
        </w:rPr>
        <w:t>贯彻党的十九大和十九届历次全会精神,认真落实中央、省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和</w:t>
      </w:r>
      <w:bookmarkStart w:id="1" w:name="_GoBack"/>
      <w:bookmarkEnd w:id="1"/>
      <w:r>
        <w:rPr>
          <w:rFonts w:hint="eastAsia" w:ascii="仿宋_GB2312" w:hAnsi="仿宋_GB2312" w:eastAsia="仿宋_GB2312" w:cs="仿宋_GB2312"/>
          <w:color w:val="auto"/>
          <w:sz w:val="32"/>
          <w:szCs w:val="32"/>
          <w:highlight w:val="none"/>
          <w:lang w:val="en-US" w:eastAsia="zh-CN"/>
        </w:rPr>
        <w:t>县委、县政府</w:t>
      </w:r>
      <w:r>
        <w:rPr>
          <w:rFonts w:hint="eastAsia" w:ascii="仿宋_GB2312" w:hAnsi="仿宋_GB2312" w:eastAsia="仿宋_GB2312" w:cs="仿宋_GB2312"/>
          <w:color w:val="auto"/>
          <w:sz w:val="32"/>
          <w:szCs w:val="32"/>
          <w:highlight w:val="none"/>
        </w:rPr>
        <w:t>决策部署，加强财政资源统筹，增强重大</w:t>
      </w:r>
      <w:r>
        <w:rPr>
          <w:rFonts w:hint="eastAsia" w:ascii="仿宋_GB2312" w:hAnsi="仿宋_GB2312" w:eastAsia="仿宋_GB2312" w:cs="仿宋_GB2312"/>
          <w:color w:val="auto"/>
          <w:sz w:val="32"/>
          <w:szCs w:val="32"/>
          <w:highlight w:val="none"/>
          <w:lang w:eastAsia="zh-CN"/>
        </w:rPr>
        <w:t>项目建设</w:t>
      </w:r>
      <w:r>
        <w:rPr>
          <w:rFonts w:hint="eastAsia" w:ascii="仿宋_GB2312" w:hAnsi="仿宋_GB2312" w:eastAsia="仿宋_GB2312" w:cs="仿宋_GB2312"/>
          <w:color w:val="auto"/>
          <w:sz w:val="32"/>
          <w:szCs w:val="32"/>
          <w:highlight w:val="none"/>
        </w:rPr>
        <w:t>财力保障。坚持过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紧日子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思想，厉行节约，统筹兼顾，严控一般性支出，切实保障重点支出;深化预算管理制度改革，落实部门和单位预算管理主体责任，加快支出标准体系建设，严格预算编制管理，增强财政预算完整性;强化预算执行和绩效管理，推动预算绩效管理提质增效;加强风险防控，</w:t>
      </w:r>
      <w:r>
        <w:rPr>
          <w:rFonts w:hint="eastAsia" w:ascii="仿宋_GB2312" w:hAnsi="仿宋_GB2312" w:eastAsia="仿宋_GB2312" w:cs="仿宋_GB2312"/>
          <w:color w:val="auto"/>
          <w:sz w:val="32"/>
          <w:szCs w:val="32"/>
          <w:highlight w:val="none"/>
          <w:lang w:eastAsia="zh-CN"/>
        </w:rPr>
        <w:t>防范化解</w:t>
      </w:r>
      <w:r>
        <w:rPr>
          <w:rFonts w:hint="eastAsia" w:ascii="仿宋_GB2312" w:hAnsi="仿宋_GB2312" w:eastAsia="仿宋_GB2312" w:cs="仿宋_GB2312"/>
          <w:color w:val="auto"/>
          <w:sz w:val="32"/>
          <w:szCs w:val="32"/>
          <w:highlight w:val="none"/>
        </w:rPr>
        <w:t>债务风险和财政运行风险，增强财政可持续性;改进预决算公开，提高预算管理信息化水平，以信息化推进预算管理现代化。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w:t>
      </w:r>
      <w:r>
        <w:rPr>
          <w:rFonts w:hint="eastAsia" w:ascii="楷体_GB2312" w:hAnsi="楷体_GB2312" w:eastAsia="楷体_GB2312" w:cs="楷体_GB2312"/>
          <w:color w:val="auto"/>
          <w:sz w:val="32"/>
          <w:szCs w:val="32"/>
          <w:highlight w:val="none"/>
          <w:lang w:eastAsia="zh-CN"/>
        </w:rPr>
        <w:t>预算编制的</w:t>
      </w:r>
      <w:r>
        <w:rPr>
          <w:rFonts w:hint="eastAsia" w:ascii="楷体_GB2312" w:hAnsi="楷体_GB2312" w:eastAsia="楷体_GB2312" w:cs="楷体_GB2312"/>
          <w:color w:val="auto"/>
          <w:sz w:val="32"/>
          <w:szCs w:val="32"/>
          <w:highlight w:val="none"/>
        </w:rPr>
        <w:t>基本原则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 w:eastAsia="仿宋_GB2312" w:cs="仿宋"/>
          <w:b/>
          <w:bCs/>
          <w:color w:val="auto"/>
          <w:sz w:val="32"/>
          <w:szCs w:val="32"/>
          <w:highlight w:val="none"/>
        </w:rPr>
        <w:t>1.依法理财原则。</w:t>
      </w:r>
      <w:r>
        <w:rPr>
          <w:rFonts w:hint="eastAsia" w:ascii="仿宋_GB2312" w:hAnsi="仿宋" w:eastAsia="仿宋_GB2312" w:cs="仿宋"/>
          <w:color w:val="auto"/>
          <w:sz w:val="32"/>
          <w:szCs w:val="32"/>
          <w:highlight w:val="none"/>
        </w:rPr>
        <w:t>贯彻执行《预算法》</w:t>
      </w:r>
      <w:r>
        <w:rPr>
          <w:rFonts w:hint="eastAsia" w:ascii="仿宋_GB2312" w:hAnsi="仿宋" w:eastAsia="仿宋_GB2312" w:cs="仿宋"/>
          <w:color w:val="auto"/>
          <w:sz w:val="32"/>
          <w:szCs w:val="32"/>
          <w:highlight w:val="none"/>
          <w:lang w:val="en-US" w:eastAsia="zh-CN"/>
        </w:rPr>
        <w:t>及其</w:t>
      </w:r>
      <w:r>
        <w:rPr>
          <w:rFonts w:hint="eastAsia" w:ascii="仿宋_GB2312" w:hAnsi="仿宋" w:eastAsia="仿宋_GB2312" w:cs="仿宋"/>
          <w:color w:val="auto"/>
          <w:sz w:val="32"/>
          <w:szCs w:val="32"/>
          <w:highlight w:val="none"/>
        </w:rPr>
        <w:t>实施条例</w:t>
      </w:r>
      <w:r>
        <w:rPr>
          <w:rFonts w:hint="eastAsia" w:ascii="仿宋_GB2312" w:hAnsi="仿宋_GB2312" w:eastAsia="仿宋_GB2312" w:cs="仿宋_GB2312"/>
          <w:color w:val="auto"/>
          <w:sz w:val="32"/>
          <w:szCs w:val="32"/>
          <w:highlight w:val="none"/>
        </w:rPr>
        <w:t>，规范预算编制、执行、决算和监督行为，坚持铁律管财，按照公开、公正、透明的要求，做好202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年部门预算编制工作。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2.厉行节约原则。</w:t>
      </w:r>
      <w:r>
        <w:rPr>
          <w:rFonts w:hint="eastAsia" w:ascii="仿宋_GB2312" w:hAnsi="仿宋_GB2312" w:eastAsia="仿宋_GB2312" w:cs="仿宋_GB2312"/>
          <w:bCs/>
          <w:color w:val="auto"/>
          <w:sz w:val="32"/>
          <w:szCs w:val="32"/>
          <w:highlight w:val="none"/>
        </w:rPr>
        <w:t>优化财政收支结构，</w:t>
      </w:r>
      <w:r>
        <w:rPr>
          <w:rFonts w:hint="eastAsia" w:ascii="仿宋_GB2312" w:hAnsi="仿宋_GB2312" w:eastAsia="仿宋_GB2312" w:cs="仿宋_GB2312"/>
          <w:color w:val="auto"/>
          <w:sz w:val="32"/>
          <w:szCs w:val="32"/>
          <w:highlight w:val="none"/>
        </w:rPr>
        <w:t>加大预算收入统筹力度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Cs/>
          <w:color w:val="auto"/>
          <w:sz w:val="32"/>
          <w:szCs w:val="32"/>
          <w:highlight w:val="none"/>
        </w:rPr>
        <w:t>着力保障和改善民生，牢固树立过“紧日子”的思想，除法定支出和政策性支出按标准安排外，大</w:t>
      </w:r>
      <w:r>
        <w:rPr>
          <w:rFonts w:hint="eastAsia" w:ascii="仿宋_GB2312" w:hAnsi="仿宋_GB2312" w:eastAsia="仿宋_GB2312" w:cs="仿宋_GB2312"/>
          <w:color w:val="auto"/>
          <w:sz w:val="32"/>
          <w:szCs w:val="32"/>
          <w:highlight w:val="none"/>
        </w:rPr>
        <w:t>力压缩“三公”经费等一般性支出，努力降低行政运行成本。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3.讲求绩效原则。</w:t>
      </w:r>
      <w:r>
        <w:rPr>
          <w:rFonts w:hint="eastAsia" w:ascii="仿宋_GB2312" w:hAnsi="仿宋_GB2312" w:eastAsia="仿宋_GB2312" w:cs="仿宋_GB2312"/>
          <w:color w:val="auto"/>
          <w:sz w:val="32"/>
          <w:szCs w:val="32"/>
          <w:highlight w:val="none"/>
        </w:rPr>
        <w:t>推进预算和绩效管理一体化，探索运用成本效益分析等方法开展事前绩效评估，严格项目预算绩效目标管理，全面实行预算绩效目标和执行进度双监控，加大部门预算执行情况的跟踪问效，加强绩效评价结果应用，</w:t>
      </w:r>
      <w:r>
        <w:rPr>
          <w:rFonts w:hint="eastAsia" w:ascii="仿宋_GB2312" w:hAnsi="仿宋_GB2312" w:eastAsia="仿宋_GB2312" w:cs="仿宋_GB2312"/>
          <w:color w:val="auto"/>
          <w:sz w:val="32"/>
          <w:szCs w:val="32"/>
          <w:highlight w:val="none"/>
          <w:lang w:val="en-US" w:eastAsia="zh-CN"/>
        </w:rPr>
        <w:t>完善</w:t>
      </w:r>
      <w:r>
        <w:rPr>
          <w:rFonts w:hint="eastAsia" w:ascii="仿宋_GB2312" w:hAnsi="仿宋_GB2312" w:eastAsia="仿宋_GB2312" w:cs="仿宋_GB2312"/>
          <w:color w:val="auto"/>
          <w:sz w:val="32"/>
          <w:szCs w:val="32"/>
          <w:highlight w:val="none"/>
        </w:rPr>
        <w:t>以评价结果指导预算的制度。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4.精准规范原则。</w:t>
      </w:r>
      <w:r>
        <w:rPr>
          <w:rFonts w:hint="eastAsia" w:ascii="仿宋_GB2312" w:hAnsi="仿宋_GB2312" w:eastAsia="仿宋_GB2312" w:cs="仿宋_GB2312"/>
          <w:color w:val="auto"/>
          <w:sz w:val="32"/>
          <w:szCs w:val="32"/>
          <w:highlight w:val="none"/>
        </w:rPr>
        <w:t>做到预算口径精准、项目编制精准、测算数据精准，按照规范程序和标准，把预算工作做深做细做透，全方面考虑财政收支、资产配置、政府采购、政府购买服务等需求，建立一本预算管全年的理念。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5.项目支撑原则。</w:t>
      </w:r>
      <w:r>
        <w:rPr>
          <w:rFonts w:hint="eastAsia" w:ascii="仿宋_GB2312" w:hAnsi="仿宋_GB2312" w:eastAsia="仿宋_GB2312" w:cs="仿宋_GB2312"/>
          <w:color w:val="auto"/>
          <w:sz w:val="32"/>
          <w:szCs w:val="32"/>
          <w:highlight w:val="none"/>
        </w:rPr>
        <w:t>将项目作为部门和单位预算管理的基本单元，预算支出全部以项目形式纳入预算项目库，实施全生命周期管理。加强项目建设年限与预算年度的有效衔接，严格按项目实施规划和年度投资计划分年度申请和安排预算资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（三）预算草案</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ascii="仿宋_GB2312" w:hAnsi="仿宋" w:eastAsia="仿宋_GB2312" w:cs="仿宋"/>
          <w:b/>
          <w:bCs/>
          <w:color w:val="auto"/>
          <w:sz w:val="32"/>
          <w:szCs w:val="32"/>
          <w:highlight w:val="none"/>
        </w:rPr>
      </w:pPr>
      <w:r>
        <w:rPr>
          <w:rFonts w:hint="eastAsia" w:ascii="仿宋_GB2312" w:hAnsi="仿宋" w:eastAsia="仿宋_GB2312" w:cs="仿宋"/>
          <w:b/>
          <w:bCs/>
          <w:color w:val="auto"/>
          <w:sz w:val="32"/>
          <w:szCs w:val="32"/>
          <w:highlight w:val="none"/>
        </w:rPr>
        <w:t>1、一般公共预算草案</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kern w:val="0"/>
          <w:sz w:val="32"/>
          <w:szCs w:val="32"/>
          <w:highlight w:val="none"/>
        </w:rPr>
      </w:pPr>
      <w:r>
        <w:rPr>
          <w:rFonts w:hint="eastAsia" w:ascii="仿宋_GB2312" w:hAnsi="楷体" w:eastAsia="仿宋_GB2312"/>
          <w:color w:val="auto"/>
          <w:kern w:val="0"/>
          <w:sz w:val="32"/>
          <w:szCs w:val="32"/>
          <w:highlight w:val="none"/>
        </w:rPr>
        <w:t>（1）一般公共预算收入。</w:t>
      </w:r>
      <w:r>
        <w:rPr>
          <w:rFonts w:hint="eastAsia" w:ascii="仿宋_GB2312" w:eastAsia="仿宋_GB2312"/>
          <w:color w:val="auto"/>
          <w:kern w:val="0"/>
          <w:sz w:val="32"/>
          <w:szCs w:val="32"/>
          <w:highlight w:val="none"/>
        </w:rPr>
        <w:t>地方一般公共预算收入目标为</w:t>
      </w:r>
      <w:r>
        <w:rPr>
          <w:rFonts w:hint="eastAsia" w:ascii="仿宋_GB2312" w:eastAsia="仿宋_GB2312"/>
          <w:color w:val="auto"/>
          <w:kern w:val="0"/>
          <w:sz w:val="32"/>
          <w:szCs w:val="32"/>
          <w:highlight w:val="none"/>
          <w:lang w:val="en-US" w:eastAsia="zh-CN"/>
        </w:rPr>
        <w:t>70000万</w:t>
      </w:r>
      <w:r>
        <w:rPr>
          <w:rFonts w:hint="eastAsia" w:ascii="仿宋_GB2312" w:eastAsia="仿宋_GB2312"/>
          <w:color w:val="auto"/>
          <w:kern w:val="0"/>
          <w:sz w:val="32"/>
          <w:szCs w:val="32"/>
          <w:highlight w:val="none"/>
        </w:rPr>
        <w:t>元，比202</w:t>
      </w:r>
      <w:r>
        <w:rPr>
          <w:rFonts w:hint="eastAsia" w:ascii="仿宋_GB2312" w:eastAsia="仿宋_GB2312"/>
          <w:color w:val="auto"/>
          <w:kern w:val="0"/>
          <w:sz w:val="32"/>
          <w:szCs w:val="32"/>
          <w:highlight w:val="none"/>
          <w:lang w:val="en-US" w:eastAsia="zh-CN"/>
        </w:rPr>
        <w:t>1完成数59028万</w:t>
      </w:r>
      <w:r>
        <w:rPr>
          <w:rFonts w:hint="eastAsia" w:ascii="仿宋_GB2312" w:eastAsia="仿宋_GB2312"/>
          <w:color w:val="auto"/>
          <w:kern w:val="0"/>
          <w:sz w:val="32"/>
          <w:szCs w:val="32"/>
          <w:highlight w:val="none"/>
        </w:rPr>
        <w:t>元增长</w:t>
      </w:r>
      <w:r>
        <w:rPr>
          <w:rFonts w:hint="eastAsia" w:ascii="仿宋_GB2312" w:eastAsia="仿宋_GB2312"/>
          <w:color w:val="auto"/>
          <w:kern w:val="0"/>
          <w:sz w:val="32"/>
          <w:szCs w:val="32"/>
          <w:highlight w:val="none"/>
          <w:lang w:val="en-US" w:eastAsia="zh-CN"/>
        </w:rPr>
        <w:t>18.6</w:t>
      </w:r>
      <w:r>
        <w:rPr>
          <w:rFonts w:hint="eastAsia" w:ascii="仿宋_GB2312" w:eastAsia="仿宋_GB2312"/>
          <w:color w:val="auto"/>
          <w:kern w:val="0"/>
          <w:sz w:val="32"/>
          <w:szCs w:val="32"/>
          <w:highlight w:val="none"/>
        </w:rPr>
        <w:t>%，其中税收收入</w:t>
      </w:r>
      <w:r>
        <w:rPr>
          <w:rFonts w:hint="eastAsia" w:ascii="仿宋_GB2312" w:eastAsia="仿宋_GB2312"/>
          <w:color w:val="auto"/>
          <w:kern w:val="0"/>
          <w:sz w:val="32"/>
          <w:szCs w:val="32"/>
          <w:highlight w:val="none"/>
          <w:lang w:val="en-US" w:eastAsia="zh-CN"/>
        </w:rPr>
        <w:t>53000万</w:t>
      </w:r>
      <w:r>
        <w:rPr>
          <w:rFonts w:hint="eastAsia" w:ascii="仿宋_GB2312" w:eastAsia="仿宋_GB2312"/>
          <w:color w:val="auto"/>
          <w:kern w:val="0"/>
          <w:sz w:val="32"/>
          <w:szCs w:val="32"/>
          <w:highlight w:val="none"/>
        </w:rPr>
        <w:t>元，非税收入</w:t>
      </w:r>
      <w:r>
        <w:rPr>
          <w:rFonts w:hint="eastAsia" w:ascii="仿宋_GB2312" w:eastAsia="仿宋_GB2312"/>
          <w:color w:val="auto"/>
          <w:kern w:val="0"/>
          <w:sz w:val="32"/>
          <w:szCs w:val="32"/>
          <w:highlight w:val="none"/>
          <w:lang w:val="en-US" w:eastAsia="zh-CN"/>
        </w:rPr>
        <w:t>17000万</w:t>
      </w:r>
      <w:r>
        <w:rPr>
          <w:rFonts w:hint="eastAsia" w:ascii="仿宋_GB2312" w:eastAsia="仿宋_GB2312"/>
          <w:color w:val="auto"/>
          <w:kern w:val="0"/>
          <w:sz w:val="32"/>
          <w:szCs w:val="32"/>
          <w:highlight w:val="none"/>
        </w:rPr>
        <w:t>元，税收占比7</w:t>
      </w:r>
      <w:r>
        <w:rPr>
          <w:rFonts w:hint="eastAsia" w:ascii="仿宋_GB2312" w:eastAsia="仿宋_GB2312"/>
          <w:color w:val="auto"/>
          <w:kern w:val="0"/>
          <w:sz w:val="32"/>
          <w:szCs w:val="32"/>
          <w:highlight w:val="none"/>
          <w:lang w:val="en-US" w:eastAsia="zh-CN"/>
        </w:rPr>
        <w:t>5.7</w:t>
      </w:r>
      <w:r>
        <w:rPr>
          <w:rFonts w:hint="eastAsia" w:ascii="仿宋_GB2312" w:eastAsia="仿宋_GB2312"/>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黑体" w:eastAsia="仿宋_GB2312"/>
          <w:color w:val="auto"/>
          <w:sz w:val="32"/>
          <w:szCs w:val="32"/>
          <w:highlight w:val="none"/>
        </w:rPr>
      </w:pPr>
      <w:r>
        <w:rPr>
          <w:rFonts w:hint="eastAsia" w:ascii="仿宋_GB2312" w:hAnsi="宋体" w:eastAsia="仿宋_GB2312"/>
          <w:color w:val="auto"/>
          <w:sz w:val="32"/>
          <w:szCs w:val="32"/>
          <w:highlight w:val="none"/>
        </w:rPr>
        <w:t>（2）一般公共预算支出。</w:t>
      </w:r>
      <w:r>
        <w:rPr>
          <w:rFonts w:hint="eastAsia" w:ascii="仿宋_GB2312" w:eastAsia="仿宋_GB2312"/>
          <w:color w:val="auto"/>
          <w:sz w:val="32"/>
          <w:szCs w:val="32"/>
          <w:highlight w:val="none"/>
        </w:rPr>
        <w:t>一般公共预算支出为</w:t>
      </w:r>
      <w:r>
        <w:rPr>
          <w:rFonts w:hint="eastAsia" w:ascii="仿宋_GB2312" w:eastAsia="仿宋_GB2312"/>
          <w:color w:val="auto"/>
          <w:sz w:val="32"/>
          <w:szCs w:val="32"/>
          <w:highlight w:val="none"/>
          <w:lang w:val="en-US" w:eastAsia="zh-CN"/>
        </w:rPr>
        <w:t>314089万</w:t>
      </w:r>
      <w:r>
        <w:rPr>
          <w:rFonts w:hint="eastAsia" w:ascii="仿宋_GB2312" w:eastAsia="仿宋_GB2312"/>
          <w:color w:val="auto"/>
          <w:sz w:val="32"/>
          <w:szCs w:val="32"/>
          <w:highlight w:val="none"/>
        </w:rPr>
        <w:t>元，同比</w:t>
      </w:r>
      <w:r>
        <w:rPr>
          <w:rFonts w:hint="eastAsia" w:ascii="仿宋_GB2312" w:eastAsia="仿宋_GB2312"/>
          <w:color w:val="auto"/>
          <w:sz w:val="32"/>
          <w:szCs w:val="32"/>
          <w:highlight w:val="none"/>
          <w:lang w:val="en-US" w:eastAsia="zh-CN"/>
        </w:rPr>
        <w:t>增支20370</w:t>
      </w:r>
      <w:r>
        <w:rPr>
          <w:rFonts w:hint="eastAsia" w:ascii="仿宋_GB2312" w:eastAsia="仿宋_GB2312"/>
          <w:color w:val="auto"/>
          <w:sz w:val="32"/>
          <w:szCs w:val="32"/>
          <w:highlight w:val="none"/>
        </w:rPr>
        <w:t>万元</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增长6.9%</w:t>
      </w:r>
      <w:r>
        <w:rPr>
          <w:rFonts w:hint="eastAsia" w:ascii="仿宋_GB2312" w:eastAsia="仿宋_GB2312"/>
          <w:color w:val="auto"/>
          <w:sz w:val="32"/>
          <w:szCs w:val="32"/>
          <w:highlight w:val="none"/>
        </w:rPr>
        <w:t>。主要科</w:t>
      </w:r>
      <w:r>
        <w:rPr>
          <w:rFonts w:hint="eastAsia" w:ascii="仿宋_GB2312" w:hAnsi="黑体" w:eastAsia="仿宋_GB2312"/>
          <w:color w:val="auto"/>
          <w:sz w:val="32"/>
          <w:szCs w:val="32"/>
          <w:highlight w:val="none"/>
        </w:rPr>
        <w:t>目预算安排情况：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一般公共服务支出</w:t>
      </w:r>
      <w:r>
        <w:rPr>
          <w:rFonts w:hint="eastAsia" w:ascii="仿宋_GB2312" w:hAnsi="黑体" w:eastAsia="仿宋_GB2312"/>
          <w:color w:val="auto"/>
          <w:sz w:val="32"/>
          <w:szCs w:val="32"/>
          <w:highlight w:val="none"/>
          <w:lang w:val="en-US" w:eastAsia="zh-CN"/>
        </w:rPr>
        <w:t>63344</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，剔除省专款（下同）同比</w:t>
      </w:r>
      <w:r>
        <w:rPr>
          <w:rFonts w:hint="eastAsia" w:ascii="仿宋_GB2312" w:hAnsi="黑体" w:eastAsia="仿宋_GB2312"/>
          <w:color w:val="auto"/>
          <w:sz w:val="32"/>
          <w:szCs w:val="32"/>
          <w:highlight w:val="none"/>
          <w:lang w:val="en-US" w:eastAsia="zh-CN"/>
        </w:rPr>
        <w:t>增长42.9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国防支出</w:t>
      </w:r>
      <w:r>
        <w:rPr>
          <w:rFonts w:hint="eastAsia" w:ascii="仿宋_GB2312" w:hAnsi="黑体" w:eastAsia="仿宋_GB2312"/>
          <w:color w:val="auto"/>
          <w:sz w:val="32"/>
          <w:szCs w:val="32"/>
          <w:highlight w:val="none"/>
          <w:lang w:val="en-US" w:eastAsia="zh-CN"/>
        </w:rPr>
        <w:t>111万元，同比增长38.7%，主要是民兵训练装备支出增加；</w:t>
      </w:r>
      <w:r>
        <w:rPr>
          <w:rFonts w:hint="eastAsia" w:ascii="仿宋_GB2312" w:hAnsi="黑体" w:eastAsia="仿宋_GB2312"/>
          <w:color w:val="auto"/>
          <w:sz w:val="32"/>
          <w:szCs w:val="32"/>
          <w:highlight w:val="none"/>
        </w:rPr>
        <w:t>公共安全支出9</w:t>
      </w:r>
      <w:r>
        <w:rPr>
          <w:rFonts w:hint="eastAsia" w:ascii="仿宋_GB2312" w:hAnsi="黑体" w:eastAsia="仿宋_GB2312"/>
          <w:color w:val="auto"/>
          <w:sz w:val="32"/>
          <w:szCs w:val="32"/>
          <w:highlight w:val="none"/>
          <w:lang w:val="en-US" w:eastAsia="zh-CN"/>
        </w:rPr>
        <w:t>951</w:t>
      </w:r>
      <w:r>
        <w:rPr>
          <w:rFonts w:hint="eastAsia" w:ascii="仿宋_GB2312" w:hAnsi="黑体" w:eastAsia="仿宋_GB2312"/>
          <w:color w:val="auto"/>
          <w:sz w:val="32"/>
          <w:szCs w:val="32"/>
          <w:highlight w:val="none"/>
        </w:rPr>
        <w:t>万元，同比增长</w:t>
      </w:r>
      <w:r>
        <w:rPr>
          <w:rFonts w:hint="eastAsia" w:ascii="仿宋_GB2312" w:hAnsi="黑体" w:eastAsia="仿宋_GB2312"/>
          <w:color w:val="auto"/>
          <w:sz w:val="32"/>
          <w:szCs w:val="32"/>
          <w:highlight w:val="none"/>
          <w:lang w:val="en-US" w:eastAsia="zh-CN"/>
        </w:rPr>
        <w:t>1.4</w:t>
      </w:r>
      <w:r>
        <w:rPr>
          <w:rFonts w:hint="eastAsia" w:ascii="仿宋_GB2312" w:hAnsi="黑体" w:eastAsia="仿宋_GB2312"/>
          <w:color w:val="auto"/>
          <w:sz w:val="32"/>
          <w:szCs w:val="32"/>
          <w:highlight w:val="none"/>
        </w:rPr>
        <w:t>%；教育支出</w:t>
      </w:r>
      <w:r>
        <w:rPr>
          <w:rFonts w:hint="eastAsia" w:ascii="仿宋_GB2312" w:hAnsi="黑体" w:eastAsia="仿宋_GB2312"/>
          <w:color w:val="auto"/>
          <w:sz w:val="32"/>
          <w:szCs w:val="32"/>
          <w:highlight w:val="none"/>
          <w:lang w:val="en-US" w:eastAsia="zh-CN"/>
        </w:rPr>
        <w:t>52365</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3.7</w:t>
      </w:r>
      <w:r>
        <w:rPr>
          <w:rFonts w:hint="eastAsia" w:ascii="仿宋_GB2312" w:hAnsi="黑体" w:eastAsia="仿宋_GB2312"/>
          <w:color w:val="auto"/>
          <w:sz w:val="32"/>
          <w:szCs w:val="32"/>
          <w:highlight w:val="none"/>
        </w:rPr>
        <w:t>%；科学技术支出2</w:t>
      </w:r>
      <w:r>
        <w:rPr>
          <w:rFonts w:hint="eastAsia" w:ascii="仿宋_GB2312" w:hAnsi="黑体" w:eastAsia="仿宋_GB2312"/>
          <w:color w:val="auto"/>
          <w:sz w:val="32"/>
          <w:szCs w:val="32"/>
          <w:highlight w:val="none"/>
          <w:lang w:val="en-US" w:eastAsia="zh-CN"/>
        </w:rPr>
        <w:t>492</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增长4</w:t>
      </w:r>
      <w:r>
        <w:rPr>
          <w:rFonts w:hint="eastAsia" w:ascii="仿宋_GB2312" w:hAnsi="黑体" w:eastAsia="仿宋_GB2312"/>
          <w:color w:val="auto"/>
          <w:sz w:val="32"/>
          <w:szCs w:val="32"/>
          <w:highlight w:val="none"/>
        </w:rPr>
        <w:t>%；文化旅游体育与传媒支出</w:t>
      </w:r>
      <w:r>
        <w:rPr>
          <w:rFonts w:hint="eastAsia" w:ascii="仿宋_GB2312" w:hAnsi="黑体" w:eastAsia="仿宋_GB2312"/>
          <w:color w:val="auto"/>
          <w:sz w:val="32"/>
          <w:szCs w:val="32"/>
          <w:highlight w:val="none"/>
          <w:lang w:val="en-US" w:eastAsia="zh-CN"/>
        </w:rPr>
        <w:t>4041</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增长5.2</w:t>
      </w:r>
      <w:r>
        <w:rPr>
          <w:rFonts w:hint="eastAsia" w:ascii="仿宋_GB2312" w:hAnsi="黑体" w:eastAsia="仿宋_GB2312"/>
          <w:color w:val="auto"/>
          <w:sz w:val="32"/>
          <w:szCs w:val="32"/>
          <w:highlight w:val="none"/>
        </w:rPr>
        <w:t>%；社会保障和就业支出</w:t>
      </w:r>
      <w:r>
        <w:rPr>
          <w:rFonts w:hint="eastAsia" w:ascii="仿宋_GB2312" w:hAnsi="黑体" w:eastAsia="仿宋_GB2312"/>
          <w:color w:val="auto"/>
          <w:sz w:val="32"/>
          <w:szCs w:val="32"/>
          <w:highlight w:val="none"/>
          <w:lang w:val="en-US" w:eastAsia="zh-CN"/>
        </w:rPr>
        <w:t>41698</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val="en-US" w:eastAsia="zh-CN"/>
        </w:rPr>
        <w:t>与同期持平</w:t>
      </w:r>
      <w:r>
        <w:rPr>
          <w:rFonts w:hint="eastAsia" w:ascii="仿宋_GB2312" w:hAnsi="黑体" w:eastAsia="仿宋_GB2312"/>
          <w:color w:val="auto"/>
          <w:sz w:val="32"/>
          <w:szCs w:val="32"/>
          <w:highlight w:val="none"/>
        </w:rPr>
        <w:t>；卫生健康支出</w:t>
      </w:r>
      <w:r>
        <w:rPr>
          <w:rFonts w:hint="eastAsia" w:ascii="仿宋_GB2312" w:hAnsi="黑体" w:eastAsia="仿宋_GB2312"/>
          <w:color w:val="auto"/>
          <w:sz w:val="32"/>
          <w:szCs w:val="32"/>
          <w:highlight w:val="none"/>
          <w:lang w:val="en-US" w:eastAsia="zh-CN"/>
        </w:rPr>
        <w:t>46885</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30.9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主要提前下达医疗补助资金增加</w:t>
      </w:r>
      <w:r>
        <w:rPr>
          <w:rFonts w:hint="eastAsia" w:ascii="仿宋_GB2312" w:hAnsi="黑体" w:eastAsia="仿宋_GB2312"/>
          <w:color w:val="auto"/>
          <w:sz w:val="32"/>
          <w:szCs w:val="32"/>
          <w:highlight w:val="none"/>
        </w:rPr>
        <w:t>；节能环保支出</w:t>
      </w:r>
      <w:r>
        <w:rPr>
          <w:rFonts w:hint="eastAsia" w:ascii="仿宋_GB2312" w:hAnsi="黑体" w:eastAsia="仿宋_GB2312"/>
          <w:color w:val="auto"/>
          <w:sz w:val="32"/>
          <w:szCs w:val="32"/>
          <w:highlight w:val="none"/>
          <w:lang w:val="en-US" w:eastAsia="zh-CN"/>
        </w:rPr>
        <w:t>3228</w:t>
      </w:r>
      <w:r>
        <w:rPr>
          <w:rFonts w:hint="eastAsia" w:ascii="仿宋_GB2312" w:hAnsi="黑体" w:eastAsia="仿宋_GB2312"/>
          <w:color w:val="auto"/>
          <w:sz w:val="32"/>
          <w:szCs w:val="32"/>
          <w:highlight w:val="none"/>
        </w:rPr>
        <w:t>万元，同比下降</w:t>
      </w:r>
      <w:r>
        <w:rPr>
          <w:rFonts w:hint="eastAsia" w:ascii="仿宋_GB2312" w:hAnsi="黑体" w:eastAsia="仿宋_GB2312"/>
          <w:color w:val="auto"/>
          <w:sz w:val="32"/>
          <w:szCs w:val="32"/>
          <w:highlight w:val="none"/>
          <w:lang w:val="en-US" w:eastAsia="zh-CN"/>
        </w:rPr>
        <w:t>3.9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；城乡社区支出</w:t>
      </w:r>
      <w:r>
        <w:rPr>
          <w:rFonts w:hint="eastAsia" w:ascii="仿宋_GB2312" w:hAnsi="黑体" w:eastAsia="仿宋_GB2312"/>
          <w:color w:val="auto"/>
          <w:sz w:val="32"/>
          <w:szCs w:val="32"/>
          <w:highlight w:val="none"/>
          <w:lang w:val="en-US" w:eastAsia="zh-CN"/>
        </w:rPr>
        <w:t>6704</w:t>
      </w:r>
      <w:r>
        <w:rPr>
          <w:rFonts w:hint="eastAsia" w:ascii="仿宋_GB2312" w:hAnsi="黑体" w:eastAsia="仿宋_GB2312"/>
          <w:color w:val="auto"/>
          <w:sz w:val="32"/>
          <w:szCs w:val="32"/>
          <w:highlight w:val="none"/>
        </w:rPr>
        <w:t>万元，同比下降4.</w:t>
      </w:r>
      <w:r>
        <w:rPr>
          <w:rFonts w:hint="eastAsia" w:ascii="仿宋_GB2312" w:hAnsi="黑体" w:eastAsia="仿宋_GB2312"/>
          <w:color w:val="auto"/>
          <w:sz w:val="32"/>
          <w:szCs w:val="32"/>
          <w:highlight w:val="none"/>
          <w:lang w:val="en-US" w:eastAsia="zh-CN"/>
        </w:rPr>
        <w:t>5</w:t>
      </w:r>
      <w:r>
        <w:rPr>
          <w:rFonts w:hint="eastAsia" w:ascii="仿宋_GB2312" w:hAnsi="黑体" w:eastAsia="仿宋_GB2312"/>
          <w:color w:val="auto"/>
          <w:sz w:val="32"/>
          <w:szCs w:val="32"/>
          <w:highlight w:val="none"/>
        </w:rPr>
        <w:t>%；农林水支出</w:t>
      </w:r>
      <w:r>
        <w:rPr>
          <w:rFonts w:hint="eastAsia" w:ascii="仿宋_GB2312" w:hAnsi="黑体" w:eastAsia="仿宋_GB2312"/>
          <w:color w:val="auto"/>
          <w:sz w:val="32"/>
          <w:szCs w:val="32"/>
          <w:highlight w:val="none"/>
          <w:lang w:val="en-US" w:eastAsia="zh-CN"/>
        </w:rPr>
        <w:t>45407</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w:t>
      </w:r>
      <w:r>
        <w:rPr>
          <w:rFonts w:hint="eastAsia" w:ascii="仿宋_GB2312" w:hAnsi="黑体" w:eastAsia="仿宋_GB2312"/>
          <w:color w:val="auto"/>
          <w:sz w:val="32"/>
          <w:szCs w:val="32"/>
          <w:highlight w:val="none"/>
          <w:lang w:val="en-US" w:eastAsia="zh-CN"/>
        </w:rPr>
        <w:t>下降11.1</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；交通运输支出</w:t>
      </w:r>
      <w:r>
        <w:rPr>
          <w:rFonts w:hint="eastAsia" w:ascii="仿宋_GB2312" w:hAnsi="黑体" w:eastAsia="仿宋_GB2312"/>
          <w:color w:val="auto"/>
          <w:sz w:val="32"/>
          <w:szCs w:val="32"/>
          <w:highlight w:val="none"/>
          <w:lang w:val="en-US" w:eastAsia="zh-CN"/>
        </w:rPr>
        <w:t>16669</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28.8</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主要是归还到期的贷款本金</w:t>
      </w:r>
      <w:r>
        <w:rPr>
          <w:rFonts w:hint="eastAsia" w:ascii="仿宋_GB2312" w:hAnsi="黑体" w:eastAsia="仿宋_GB2312"/>
          <w:color w:val="auto"/>
          <w:sz w:val="32"/>
          <w:szCs w:val="32"/>
          <w:highlight w:val="none"/>
        </w:rPr>
        <w:t>；资源勘探信息等支出1</w:t>
      </w:r>
      <w:r>
        <w:rPr>
          <w:rFonts w:hint="eastAsia" w:ascii="仿宋_GB2312" w:hAnsi="黑体" w:eastAsia="仿宋_GB2312"/>
          <w:color w:val="auto"/>
          <w:sz w:val="32"/>
          <w:szCs w:val="32"/>
          <w:highlight w:val="none"/>
          <w:lang w:val="en-US" w:eastAsia="zh-CN"/>
        </w:rPr>
        <w:t>243</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val="en-US" w:eastAsia="zh-CN"/>
        </w:rPr>
        <w:t>与同期持平</w:t>
      </w:r>
      <w:r>
        <w:rPr>
          <w:rFonts w:hint="eastAsia" w:ascii="仿宋_GB2312" w:hAnsi="黑体" w:eastAsia="仿宋_GB2312"/>
          <w:color w:val="auto"/>
          <w:sz w:val="32"/>
          <w:szCs w:val="32"/>
          <w:highlight w:val="none"/>
        </w:rPr>
        <w:t>；商业服务业等支出</w:t>
      </w:r>
      <w:r>
        <w:rPr>
          <w:rFonts w:hint="eastAsia" w:ascii="仿宋_GB2312" w:hAnsi="黑体" w:eastAsia="仿宋_GB2312"/>
          <w:color w:val="auto"/>
          <w:sz w:val="32"/>
          <w:szCs w:val="32"/>
          <w:highlight w:val="none"/>
          <w:lang w:val="en-US" w:eastAsia="zh-CN"/>
        </w:rPr>
        <w:t>708</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增长7.7</w:t>
      </w:r>
      <w:r>
        <w:rPr>
          <w:rFonts w:hint="eastAsia" w:ascii="仿宋_GB2312" w:hAnsi="黑体" w:eastAsia="仿宋_GB2312"/>
          <w:color w:val="auto"/>
          <w:sz w:val="32"/>
          <w:szCs w:val="32"/>
          <w:highlight w:val="none"/>
        </w:rPr>
        <w:t>%；自然资源海洋气象等支出</w:t>
      </w:r>
      <w:r>
        <w:rPr>
          <w:rFonts w:hint="eastAsia" w:ascii="仿宋_GB2312" w:hAnsi="黑体" w:eastAsia="仿宋_GB2312"/>
          <w:color w:val="auto"/>
          <w:sz w:val="32"/>
          <w:szCs w:val="32"/>
          <w:highlight w:val="none"/>
          <w:lang w:val="en-US" w:eastAsia="zh-CN"/>
        </w:rPr>
        <w:t>2434</w:t>
      </w:r>
      <w:r>
        <w:rPr>
          <w:rFonts w:hint="eastAsia" w:ascii="仿宋_GB2312" w:hAnsi="黑体" w:eastAsia="仿宋_GB2312"/>
          <w:color w:val="auto"/>
          <w:sz w:val="32"/>
          <w:szCs w:val="32"/>
          <w:highlight w:val="none"/>
        </w:rPr>
        <w:t>万元，同比下降</w:t>
      </w:r>
      <w:r>
        <w:rPr>
          <w:rFonts w:hint="eastAsia" w:ascii="仿宋_GB2312" w:hAnsi="黑体" w:eastAsia="仿宋_GB2312"/>
          <w:color w:val="auto"/>
          <w:sz w:val="32"/>
          <w:szCs w:val="32"/>
          <w:highlight w:val="none"/>
          <w:lang w:val="en-US" w:eastAsia="zh-CN"/>
        </w:rPr>
        <w:t>18.1</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；住房保障支出</w:t>
      </w:r>
      <w:r>
        <w:rPr>
          <w:rFonts w:hint="eastAsia" w:ascii="仿宋_GB2312" w:hAnsi="黑体" w:eastAsia="仿宋_GB2312"/>
          <w:color w:val="auto"/>
          <w:sz w:val="32"/>
          <w:szCs w:val="32"/>
          <w:highlight w:val="none"/>
          <w:lang w:val="en-US" w:eastAsia="zh-CN"/>
        </w:rPr>
        <w:t>4047</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同比下降6.1%</w:t>
      </w:r>
      <w:r>
        <w:rPr>
          <w:rFonts w:hint="eastAsia" w:ascii="仿宋_GB2312" w:hAnsi="黑体" w:eastAsia="仿宋_GB2312"/>
          <w:color w:val="auto"/>
          <w:sz w:val="32"/>
          <w:szCs w:val="32"/>
          <w:highlight w:val="none"/>
        </w:rPr>
        <w:t>；粮油物资储备支出</w:t>
      </w:r>
      <w:r>
        <w:rPr>
          <w:rFonts w:hint="eastAsia" w:ascii="仿宋_GB2312" w:hAnsi="黑体" w:eastAsia="仿宋_GB2312"/>
          <w:color w:val="auto"/>
          <w:sz w:val="32"/>
          <w:szCs w:val="32"/>
          <w:highlight w:val="none"/>
          <w:lang w:val="en-US" w:eastAsia="zh-CN"/>
        </w:rPr>
        <w:t>207</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rPr>
        <w:t>同比</w:t>
      </w:r>
      <w:r>
        <w:rPr>
          <w:rFonts w:hint="eastAsia" w:ascii="仿宋_GB2312" w:hAnsi="黑体" w:eastAsia="仿宋_GB2312"/>
          <w:color w:val="auto"/>
          <w:sz w:val="32"/>
          <w:szCs w:val="32"/>
          <w:highlight w:val="none"/>
          <w:lang w:val="en-US" w:eastAsia="zh-CN"/>
        </w:rPr>
        <w:t>增长2.5</w:t>
      </w:r>
      <w:r>
        <w:rPr>
          <w:rFonts w:hint="eastAsia" w:ascii="仿宋_GB2312" w:hAnsi="黑体" w:eastAsia="仿宋_GB2312"/>
          <w:color w:val="auto"/>
          <w:sz w:val="32"/>
          <w:szCs w:val="32"/>
          <w:highlight w:val="none"/>
        </w:rPr>
        <w:t>%；灾害防治及应急管理2</w:t>
      </w:r>
      <w:r>
        <w:rPr>
          <w:rFonts w:hint="eastAsia" w:ascii="仿宋_GB2312" w:hAnsi="黑体" w:eastAsia="仿宋_GB2312"/>
          <w:color w:val="auto"/>
          <w:sz w:val="32"/>
          <w:szCs w:val="32"/>
          <w:highlight w:val="none"/>
          <w:lang w:val="en-US" w:eastAsia="zh-CN"/>
        </w:rPr>
        <w:t>295</w:t>
      </w:r>
      <w:r>
        <w:rPr>
          <w:rFonts w:hint="eastAsia" w:ascii="仿宋_GB2312" w:hAnsi="黑体" w:eastAsia="仿宋_GB2312"/>
          <w:color w:val="auto"/>
          <w:sz w:val="32"/>
          <w:szCs w:val="32"/>
          <w:highlight w:val="none"/>
        </w:rPr>
        <w:t>万元，同比增加</w:t>
      </w:r>
      <w:r>
        <w:rPr>
          <w:rFonts w:hint="eastAsia" w:ascii="仿宋_GB2312" w:hAnsi="黑体" w:eastAsia="仿宋_GB2312"/>
          <w:color w:val="auto"/>
          <w:sz w:val="32"/>
          <w:szCs w:val="32"/>
          <w:highlight w:val="none"/>
          <w:lang w:val="en-US" w:eastAsia="zh-CN"/>
        </w:rPr>
        <w:t>7.4</w:t>
      </w:r>
      <w:r>
        <w:rPr>
          <w:rFonts w:hint="eastAsia" w:ascii="仿宋_GB2312" w:hAnsi="黑体" w:eastAsia="仿宋_GB2312"/>
          <w:color w:val="auto"/>
          <w:sz w:val="32"/>
          <w:szCs w:val="32"/>
          <w:highlight w:val="none"/>
        </w:rPr>
        <w:t>%；预备费3360万元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rPr>
        <w:t>债务付息支出</w:t>
      </w:r>
      <w:r>
        <w:rPr>
          <w:rFonts w:hint="eastAsia" w:ascii="仿宋_GB2312" w:hAnsi="黑体" w:eastAsia="仿宋_GB2312"/>
          <w:color w:val="auto"/>
          <w:sz w:val="32"/>
          <w:szCs w:val="32"/>
          <w:highlight w:val="none"/>
          <w:lang w:val="en-US" w:eastAsia="zh-CN"/>
        </w:rPr>
        <w:t>69</w:t>
      </w:r>
      <w:r>
        <w:rPr>
          <w:rFonts w:hint="eastAsia" w:ascii="仿宋_GB2312" w:hAnsi="黑体" w:eastAsia="仿宋_GB2312"/>
          <w:color w:val="auto"/>
          <w:sz w:val="32"/>
          <w:szCs w:val="32"/>
          <w:highlight w:val="none"/>
        </w:rPr>
        <w:t>00万元。</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s="仿宋"/>
          <w:color w:val="auto"/>
          <w:sz w:val="32"/>
          <w:szCs w:val="32"/>
          <w:highlight w:val="none"/>
        </w:rPr>
      </w:pPr>
      <w:r>
        <w:rPr>
          <w:rFonts w:hint="eastAsia" w:ascii="仿宋_GB2312" w:hAnsi="宋体" w:eastAsia="仿宋_GB2312"/>
          <w:color w:val="auto"/>
          <w:sz w:val="32"/>
          <w:szCs w:val="32"/>
          <w:highlight w:val="none"/>
        </w:rPr>
        <w:t>（3）预算平衡情况。</w:t>
      </w:r>
      <w:r>
        <w:rPr>
          <w:rFonts w:hint="eastAsia" w:ascii="仿宋_GB2312" w:eastAsia="仿宋_GB2312"/>
          <w:color w:val="auto"/>
          <w:sz w:val="32"/>
          <w:szCs w:val="32"/>
          <w:highlight w:val="none"/>
        </w:rPr>
        <w:t>一般公共预算的收入总量为</w:t>
      </w:r>
      <w:r>
        <w:rPr>
          <w:rFonts w:hint="eastAsia" w:ascii="仿宋_GB2312" w:eastAsia="仿宋_GB2312"/>
          <w:color w:val="auto"/>
          <w:sz w:val="32"/>
          <w:szCs w:val="32"/>
          <w:highlight w:val="none"/>
          <w:lang w:val="en-US" w:eastAsia="zh-CN"/>
        </w:rPr>
        <w:t>344141</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，其中：一般公共预算收入</w:t>
      </w:r>
      <w:r>
        <w:rPr>
          <w:rFonts w:hint="eastAsia" w:ascii="仿宋_GB2312" w:eastAsia="仿宋_GB2312"/>
          <w:color w:val="auto"/>
          <w:sz w:val="32"/>
          <w:szCs w:val="32"/>
          <w:highlight w:val="none"/>
          <w:lang w:val="en-US" w:eastAsia="zh-CN"/>
        </w:rPr>
        <w:t>70000</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，上级补助收入</w:t>
      </w:r>
      <w:r>
        <w:rPr>
          <w:rFonts w:hint="eastAsia" w:ascii="仿宋_GB2312" w:eastAsia="仿宋_GB2312"/>
          <w:color w:val="auto"/>
          <w:sz w:val="32"/>
          <w:szCs w:val="32"/>
          <w:highlight w:val="none"/>
          <w:lang w:val="en-US" w:eastAsia="zh-CN"/>
        </w:rPr>
        <w:t>212856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，债券转贷收入</w:t>
      </w:r>
      <w:r>
        <w:rPr>
          <w:rFonts w:hint="eastAsia" w:ascii="仿宋_GB2312" w:eastAsia="仿宋_GB2312"/>
          <w:color w:val="auto"/>
          <w:sz w:val="32"/>
          <w:szCs w:val="32"/>
          <w:highlight w:val="none"/>
          <w:lang w:val="en-US" w:eastAsia="zh-CN"/>
        </w:rPr>
        <w:t>14439</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，调入资金</w:t>
      </w:r>
      <w:r>
        <w:rPr>
          <w:rFonts w:hint="eastAsia" w:ascii="仿宋_GB2312" w:eastAsia="仿宋_GB2312"/>
          <w:color w:val="auto"/>
          <w:sz w:val="32"/>
          <w:szCs w:val="32"/>
          <w:highlight w:val="none"/>
          <w:lang w:val="en-US" w:eastAsia="zh-CN"/>
        </w:rPr>
        <w:t>10331</w:t>
      </w:r>
      <w:r>
        <w:rPr>
          <w:rFonts w:hint="eastAsia" w:ascii="仿宋_GB2312" w:eastAsia="仿宋_GB2312"/>
          <w:color w:val="auto"/>
          <w:sz w:val="32"/>
          <w:szCs w:val="32"/>
          <w:highlight w:val="none"/>
          <w:lang w:eastAsia="zh-CN"/>
        </w:rPr>
        <w:t>万元，动用预算稳定调节基金4132万元，上年结转</w:t>
      </w:r>
      <w:r>
        <w:rPr>
          <w:rFonts w:hint="eastAsia" w:ascii="仿宋_GB2312" w:eastAsia="仿宋_GB2312"/>
          <w:color w:val="auto"/>
          <w:sz w:val="32"/>
          <w:szCs w:val="32"/>
          <w:highlight w:val="none"/>
          <w:lang w:val="en-US" w:eastAsia="zh-CN"/>
        </w:rPr>
        <w:t>32383万元；</w:t>
      </w:r>
      <w:r>
        <w:rPr>
          <w:rFonts w:hint="eastAsia" w:ascii="仿宋_GB2312" w:eastAsia="仿宋_GB2312"/>
          <w:color w:val="auto"/>
          <w:sz w:val="32"/>
          <w:szCs w:val="32"/>
          <w:highlight w:val="none"/>
        </w:rPr>
        <w:t>支出总量为</w:t>
      </w:r>
      <w:r>
        <w:rPr>
          <w:rFonts w:hint="eastAsia" w:ascii="仿宋_GB2312" w:eastAsia="仿宋_GB2312"/>
          <w:color w:val="auto"/>
          <w:sz w:val="32"/>
          <w:szCs w:val="32"/>
          <w:highlight w:val="none"/>
          <w:lang w:val="en-US" w:eastAsia="zh-CN"/>
        </w:rPr>
        <w:t>344141</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，其中：一般公共预算支出</w:t>
      </w:r>
      <w:r>
        <w:rPr>
          <w:rFonts w:hint="eastAsia" w:ascii="仿宋_GB2312" w:eastAsia="仿宋_GB2312"/>
          <w:color w:val="auto"/>
          <w:sz w:val="32"/>
          <w:szCs w:val="32"/>
          <w:highlight w:val="none"/>
          <w:lang w:val="en-US" w:eastAsia="zh-CN"/>
        </w:rPr>
        <w:t>314089</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，债务还本</w:t>
      </w:r>
      <w:r>
        <w:rPr>
          <w:rFonts w:hint="eastAsia" w:ascii="仿宋_GB2312" w:eastAsia="仿宋_GB2312"/>
          <w:color w:val="auto"/>
          <w:sz w:val="32"/>
          <w:szCs w:val="32"/>
          <w:highlight w:val="none"/>
          <w:lang w:val="en-US" w:eastAsia="zh-CN"/>
        </w:rPr>
        <w:t>14506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，上解支出</w:t>
      </w:r>
      <w:r>
        <w:rPr>
          <w:rFonts w:hint="eastAsia" w:ascii="仿宋_GB2312" w:eastAsia="仿宋_GB2312"/>
          <w:color w:val="auto"/>
          <w:sz w:val="32"/>
          <w:szCs w:val="32"/>
          <w:highlight w:val="none"/>
          <w:lang w:val="en-US" w:eastAsia="zh-CN"/>
        </w:rPr>
        <w:t>15546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。收支相抵，预算平衡。</w:t>
      </w:r>
    </w:p>
    <w:p>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rPr>
        <w:t>2、政府性基金预算草案</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_GB2312" w:eastAsia="仿宋_GB2312"/>
          <w:color w:val="auto"/>
          <w:highlight w:val="none"/>
        </w:rPr>
      </w:pPr>
      <w:r>
        <w:rPr>
          <w:rFonts w:hint="eastAsia" w:ascii="仿宋_GB2312" w:hAnsi="仿宋" w:eastAsia="仿宋_GB2312" w:cs="仿宋"/>
          <w:color w:val="auto"/>
          <w:sz w:val="32"/>
          <w:szCs w:val="32"/>
          <w:highlight w:val="none"/>
        </w:rPr>
        <w:t>本级政府性基金收入</w:t>
      </w:r>
      <w:r>
        <w:rPr>
          <w:rFonts w:hint="eastAsia" w:ascii="仿宋_GB2312" w:hAnsi="仿宋" w:eastAsia="仿宋_GB2312" w:cs="仿宋"/>
          <w:color w:val="auto"/>
          <w:sz w:val="32"/>
          <w:szCs w:val="32"/>
          <w:highlight w:val="none"/>
          <w:lang w:val="en-US" w:eastAsia="zh-CN"/>
        </w:rPr>
        <w:t>75635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sz w:val="32"/>
          <w:szCs w:val="32"/>
          <w:highlight w:val="none"/>
          <w:lang w:eastAsia="zh-CN"/>
        </w:rPr>
        <w:t>国有土地收益基金收入</w:t>
      </w:r>
      <w:r>
        <w:rPr>
          <w:rFonts w:hint="eastAsia" w:ascii="仿宋_GB2312" w:hAnsi="仿宋" w:eastAsia="仿宋_GB2312" w:cs="仿宋"/>
          <w:color w:val="auto"/>
          <w:sz w:val="32"/>
          <w:szCs w:val="32"/>
          <w:highlight w:val="none"/>
          <w:lang w:val="en-US" w:eastAsia="zh-CN"/>
        </w:rPr>
        <w:t>4680万元，</w:t>
      </w:r>
      <w:r>
        <w:rPr>
          <w:rFonts w:hint="eastAsia" w:ascii="仿宋_GB2312" w:hAnsi="仿宋" w:eastAsia="仿宋_GB2312" w:cs="仿宋"/>
          <w:color w:val="auto"/>
          <w:sz w:val="32"/>
          <w:szCs w:val="32"/>
          <w:highlight w:val="none"/>
        </w:rPr>
        <w:t>同比增加</w:t>
      </w:r>
      <w:r>
        <w:rPr>
          <w:rFonts w:hint="eastAsia" w:ascii="仿宋_GB2312" w:hAnsi="仿宋" w:eastAsia="仿宋_GB2312" w:cs="仿宋"/>
          <w:color w:val="auto"/>
          <w:sz w:val="32"/>
          <w:szCs w:val="32"/>
          <w:highlight w:val="none"/>
          <w:lang w:val="en-US" w:eastAsia="zh-CN"/>
        </w:rPr>
        <w:t>234.2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土地出让金收入</w:t>
      </w:r>
      <w:r>
        <w:rPr>
          <w:rFonts w:hint="eastAsia" w:ascii="仿宋_GB2312" w:hAnsi="仿宋" w:eastAsia="仿宋_GB2312" w:cs="仿宋"/>
          <w:color w:val="auto"/>
          <w:sz w:val="32"/>
          <w:szCs w:val="32"/>
          <w:highlight w:val="none"/>
          <w:lang w:val="en-US" w:eastAsia="zh-CN"/>
        </w:rPr>
        <w:t>60220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，同比增加</w:t>
      </w:r>
      <w:r>
        <w:rPr>
          <w:rFonts w:hint="eastAsia" w:ascii="仿宋_GB2312" w:hAnsi="仿宋" w:eastAsia="仿宋_GB2312" w:cs="仿宋"/>
          <w:color w:val="auto"/>
          <w:sz w:val="32"/>
          <w:szCs w:val="32"/>
          <w:highlight w:val="none"/>
          <w:lang w:val="en-US" w:eastAsia="zh-CN"/>
        </w:rPr>
        <w:t>149.8</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，增长</w:t>
      </w:r>
      <w:r>
        <w:rPr>
          <w:rFonts w:hint="eastAsia" w:ascii="仿宋_GB2312" w:hAnsi="仿宋" w:eastAsia="仿宋_GB2312" w:cs="仿宋"/>
          <w:color w:val="auto"/>
          <w:sz w:val="32"/>
          <w:szCs w:val="32"/>
          <w:highlight w:val="none"/>
          <w:lang w:val="en-US" w:eastAsia="zh-CN"/>
        </w:rPr>
        <w:t>主要原因是2022年将对原国贸大厦进行开发建设</w:t>
      </w:r>
      <w:r>
        <w:rPr>
          <w:rFonts w:hint="eastAsia" w:ascii="仿宋_GB2312" w:hAnsi="仿宋" w:eastAsia="仿宋_GB2312" w:cs="仿宋"/>
          <w:color w:val="auto"/>
          <w:sz w:val="32"/>
          <w:szCs w:val="32"/>
          <w:highlight w:val="none"/>
        </w:rPr>
        <w:t>；城市基础设施配套费收入700万元；污水处理费收入700万元；车辆通行费收入1</w:t>
      </w:r>
      <w:r>
        <w:rPr>
          <w:rFonts w:hint="eastAsia" w:ascii="仿宋_GB2312" w:hAnsi="仿宋" w:eastAsia="仿宋_GB2312" w:cs="仿宋"/>
          <w:color w:val="auto"/>
          <w:sz w:val="32"/>
          <w:szCs w:val="32"/>
          <w:highlight w:val="none"/>
          <w:lang w:val="en-US" w:eastAsia="zh-CN"/>
        </w:rPr>
        <w:t>5</w:t>
      </w:r>
      <w:r>
        <w:rPr>
          <w:rFonts w:hint="eastAsia" w:ascii="仿宋_GB2312" w:hAnsi="仿宋" w:eastAsia="仿宋_GB2312" w:cs="仿宋"/>
          <w:color w:val="auto"/>
          <w:sz w:val="32"/>
          <w:szCs w:val="32"/>
          <w:highlight w:val="none"/>
        </w:rPr>
        <w:t>00万元，同比</w:t>
      </w:r>
      <w:r>
        <w:rPr>
          <w:rFonts w:hint="eastAsia" w:ascii="仿宋_GB2312" w:hAnsi="仿宋" w:eastAsia="仿宋_GB2312" w:cs="仿宋"/>
          <w:color w:val="auto"/>
          <w:sz w:val="32"/>
          <w:szCs w:val="32"/>
          <w:highlight w:val="none"/>
          <w:lang w:val="en-US" w:eastAsia="zh-CN"/>
        </w:rPr>
        <w:t>增长50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主要是货车收费形式发生变化，由按车型收费变为按载货重量收费</w:t>
      </w:r>
      <w:r>
        <w:rPr>
          <w:rFonts w:hint="eastAsia" w:ascii="仿宋_GB2312" w:hAnsi="仿宋" w:eastAsia="仿宋_GB2312" w:cs="仿宋"/>
          <w:color w:val="auto"/>
          <w:sz w:val="32"/>
          <w:szCs w:val="32"/>
          <w:highlight w:val="none"/>
        </w:rPr>
        <w:t>；新增专项债券对应项目专项收入</w:t>
      </w:r>
      <w:r>
        <w:rPr>
          <w:rFonts w:hint="eastAsia" w:ascii="仿宋_GB2312" w:hAnsi="仿宋" w:eastAsia="仿宋_GB2312" w:cs="仿宋"/>
          <w:color w:val="auto"/>
          <w:sz w:val="32"/>
          <w:szCs w:val="32"/>
          <w:highlight w:val="none"/>
          <w:lang w:val="en-US" w:eastAsia="zh-CN"/>
        </w:rPr>
        <w:t>7835</w:t>
      </w:r>
      <w:r>
        <w:rPr>
          <w:rFonts w:hint="eastAsia" w:ascii="仿宋_GB2312" w:hAnsi="仿宋" w:eastAsia="仿宋_GB2312" w:cs="仿宋"/>
          <w:color w:val="auto"/>
          <w:sz w:val="32"/>
          <w:szCs w:val="32"/>
          <w:highlight w:val="none"/>
        </w:rPr>
        <w:t>万元，同比</w:t>
      </w:r>
      <w:r>
        <w:rPr>
          <w:rFonts w:hint="eastAsia" w:ascii="仿宋_GB2312" w:hAnsi="仿宋" w:eastAsia="仿宋_GB2312" w:cs="仿宋"/>
          <w:color w:val="auto"/>
          <w:sz w:val="32"/>
          <w:szCs w:val="32"/>
          <w:highlight w:val="none"/>
          <w:lang w:val="en-US" w:eastAsia="zh-CN"/>
        </w:rPr>
        <w:t>增长291.7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主要是企业上缴的</w:t>
      </w:r>
      <w:r>
        <w:rPr>
          <w:rFonts w:hint="eastAsia" w:ascii="仿宋_GB2312" w:hAnsi="仿宋" w:eastAsia="仿宋_GB2312" w:cs="仿宋"/>
          <w:color w:val="auto"/>
          <w:sz w:val="32"/>
          <w:szCs w:val="32"/>
          <w:highlight w:val="none"/>
          <w:lang w:val="en-US" w:eastAsia="zh-CN"/>
        </w:rPr>
        <w:t>到期</w:t>
      </w:r>
      <w:r>
        <w:rPr>
          <w:rFonts w:hint="eastAsia" w:ascii="仿宋_GB2312" w:hAnsi="仿宋" w:eastAsia="仿宋_GB2312" w:cs="仿宋"/>
          <w:color w:val="auto"/>
          <w:sz w:val="32"/>
          <w:szCs w:val="32"/>
          <w:highlight w:val="none"/>
        </w:rPr>
        <w:t>专项债券利息</w:t>
      </w:r>
      <w:r>
        <w:rPr>
          <w:rFonts w:hint="eastAsia" w:ascii="仿宋_GB2312" w:hAnsi="仿宋" w:eastAsia="仿宋_GB2312" w:cs="仿宋"/>
          <w:color w:val="auto"/>
          <w:sz w:val="32"/>
          <w:szCs w:val="32"/>
          <w:highlight w:val="none"/>
          <w:lang w:val="en-US" w:eastAsia="zh-CN"/>
        </w:rPr>
        <w:t>增加</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政府性基金预算本级支出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万元，按</w:t>
      </w:r>
      <w:r>
        <w:rPr>
          <w:rFonts w:hint="eastAsia" w:ascii="仿宋_GB2312" w:hAnsi="仿宋" w:eastAsia="仿宋_GB2312" w:cs="仿宋"/>
          <w:color w:val="auto"/>
          <w:sz w:val="32"/>
          <w:szCs w:val="32"/>
          <w:highlight w:val="none"/>
        </w:rPr>
        <w:t>主要科目</w:t>
      </w:r>
      <w:r>
        <w:rPr>
          <w:rFonts w:hint="eastAsia" w:ascii="仿宋_GB2312" w:hAnsi="仿宋" w:eastAsia="仿宋_GB2312" w:cs="仿宋"/>
          <w:color w:val="auto"/>
          <w:sz w:val="32"/>
          <w:szCs w:val="32"/>
          <w:highlight w:val="none"/>
          <w:lang w:eastAsia="zh-CN"/>
        </w:rPr>
        <w:t>分</w:t>
      </w:r>
      <w:r>
        <w:rPr>
          <w:rFonts w:hint="eastAsia" w:ascii="仿宋_GB2312" w:hAnsi="仿宋" w:eastAsia="仿宋_GB2312" w:cs="仿宋"/>
          <w:color w:val="auto"/>
          <w:sz w:val="32"/>
          <w:szCs w:val="32"/>
          <w:highlight w:val="none"/>
        </w:rPr>
        <w:t>为：社会保障和就业支出</w:t>
      </w:r>
      <w:r>
        <w:rPr>
          <w:rFonts w:hint="eastAsia" w:ascii="仿宋_GB2312" w:hAnsi="仿宋" w:eastAsia="仿宋_GB2312" w:cs="仿宋"/>
          <w:color w:val="auto"/>
          <w:sz w:val="32"/>
          <w:szCs w:val="32"/>
          <w:highlight w:val="none"/>
          <w:lang w:val="en-US" w:eastAsia="zh-CN"/>
        </w:rPr>
        <w:t>7196</w:t>
      </w:r>
      <w:r>
        <w:rPr>
          <w:rFonts w:hint="eastAsia" w:ascii="仿宋_GB2312" w:hAnsi="仿宋" w:eastAsia="仿宋_GB2312" w:cs="仿宋"/>
          <w:color w:val="auto"/>
          <w:sz w:val="32"/>
          <w:szCs w:val="32"/>
          <w:highlight w:val="none"/>
        </w:rPr>
        <w:t>万元，主要是移民后扶基金支出；城乡社区支出</w:t>
      </w:r>
      <w:r>
        <w:rPr>
          <w:rFonts w:hint="eastAsia" w:ascii="仿宋_GB2312" w:hAnsi="仿宋" w:eastAsia="仿宋_GB2312" w:cs="仿宋"/>
          <w:color w:val="auto"/>
          <w:sz w:val="32"/>
          <w:szCs w:val="32"/>
          <w:highlight w:val="none"/>
          <w:lang w:val="en-US" w:eastAsia="zh-CN"/>
        </w:rPr>
        <w:t>45568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，主要是土地出让金、城市基础设施配套费、污水处理费等支出；农林水支出</w:t>
      </w:r>
      <w:r>
        <w:rPr>
          <w:rFonts w:hint="eastAsia" w:ascii="仿宋_GB2312" w:hAnsi="仿宋" w:eastAsia="仿宋_GB2312" w:cs="仿宋"/>
          <w:color w:val="auto"/>
          <w:sz w:val="32"/>
          <w:szCs w:val="32"/>
          <w:highlight w:val="none"/>
          <w:lang w:val="en-US" w:eastAsia="zh-CN"/>
        </w:rPr>
        <w:t>53096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，主要是三峡水库基金支出和</w:t>
      </w:r>
      <w:r>
        <w:rPr>
          <w:rFonts w:hint="eastAsia" w:ascii="仿宋_GB2312" w:hAnsi="仿宋" w:eastAsia="仿宋_GB2312" w:cs="仿宋"/>
          <w:color w:val="auto"/>
          <w:sz w:val="32"/>
          <w:szCs w:val="32"/>
          <w:highlight w:val="none"/>
          <w:lang w:eastAsia="zh-CN"/>
        </w:rPr>
        <w:t>三峡</w:t>
      </w:r>
      <w:r>
        <w:rPr>
          <w:rFonts w:hint="eastAsia" w:ascii="仿宋_GB2312" w:hAnsi="仿宋" w:eastAsia="仿宋_GB2312" w:cs="仿宋"/>
          <w:color w:val="auto"/>
          <w:sz w:val="32"/>
          <w:szCs w:val="32"/>
          <w:highlight w:val="none"/>
        </w:rPr>
        <w:t>后续项目资金支出；车辆通行费支出</w:t>
      </w:r>
      <w:r>
        <w:rPr>
          <w:rFonts w:hint="eastAsia" w:ascii="仿宋_GB2312" w:hAnsi="仿宋" w:eastAsia="仿宋_GB2312" w:cs="仿宋"/>
          <w:color w:val="auto"/>
          <w:sz w:val="32"/>
          <w:szCs w:val="32"/>
          <w:highlight w:val="none"/>
          <w:lang w:val="en-US" w:eastAsia="zh-CN"/>
        </w:rPr>
        <w:t>1500</w:t>
      </w:r>
      <w:r>
        <w:rPr>
          <w:rFonts w:hint="eastAsia" w:ascii="仿宋_GB2312" w:hAnsi="仿宋" w:eastAsia="仿宋_GB2312" w:cs="仿宋"/>
          <w:color w:val="auto"/>
          <w:sz w:val="32"/>
          <w:szCs w:val="32"/>
          <w:highlight w:val="none"/>
        </w:rPr>
        <w:t>万元，</w:t>
      </w:r>
      <w:r>
        <w:rPr>
          <w:rFonts w:hint="eastAsia" w:ascii="仿宋_GB2312" w:hAnsi="仿宋_GB2312" w:eastAsia="仿宋_GB2312" w:cs="仿宋_GB2312"/>
          <w:b w:val="0"/>
          <w:bCs w:val="0"/>
          <w:color w:val="auto"/>
          <w:sz w:val="32"/>
          <w:szCs w:val="32"/>
          <w:highlight w:val="none"/>
        </w:rPr>
        <w:t>为秭归长江大桥运营支出</w:t>
      </w:r>
      <w:r>
        <w:rPr>
          <w:rFonts w:hint="eastAsia" w:ascii="仿宋_GB2312" w:hAnsi="仿宋" w:eastAsia="仿宋_GB2312" w:cs="仿宋"/>
          <w:color w:val="auto"/>
          <w:sz w:val="32"/>
          <w:szCs w:val="32"/>
          <w:highlight w:val="none"/>
        </w:rPr>
        <w:t>；其他支出</w:t>
      </w:r>
      <w:r>
        <w:rPr>
          <w:rFonts w:hint="eastAsia" w:ascii="仿宋_GB2312" w:hAnsi="仿宋" w:eastAsia="仿宋_GB2312" w:cs="仿宋"/>
          <w:color w:val="auto"/>
          <w:sz w:val="32"/>
          <w:szCs w:val="32"/>
          <w:highlight w:val="none"/>
          <w:lang w:val="en-US" w:eastAsia="zh-CN"/>
        </w:rPr>
        <w:t>1119</w:t>
      </w:r>
      <w:r>
        <w:rPr>
          <w:rFonts w:hint="eastAsia" w:ascii="仿宋_GB2312" w:hAnsi="仿宋" w:eastAsia="仿宋_GB2312" w:cs="仿宋"/>
          <w:color w:val="auto"/>
          <w:sz w:val="32"/>
          <w:szCs w:val="32"/>
          <w:highlight w:val="none"/>
        </w:rPr>
        <w:t>万元，主要是彩票公益金支出；债务付息支出</w:t>
      </w:r>
      <w:r>
        <w:rPr>
          <w:rFonts w:hint="eastAsia" w:ascii="仿宋_GB2312" w:hAnsi="仿宋" w:eastAsia="仿宋_GB2312" w:cs="仿宋"/>
          <w:color w:val="auto"/>
          <w:sz w:val="32"/>
          <w:szCs w:val="32"/>
          <w:highlight w:val="none"/>
          <w:lang w:val="en-US" w:eastAsia="zh-CN"/>
        </w:rPr>
        <w:t>8101</w:t>
      </w:r>
      <w:r>
        <w:rPr>
          <w:rFonts w:hint="eastAsia" w:ascii="仿宋_GB2312" w:hAnsi="仿宋" w:eastAsia="仿宋_GB2312" w:cs="仿宋"/>
          <w:color w:val="auto"/>
          <w:sz w:val="32"/>
          <w:szCs w:val="32"/>
          <w:highlight w:val="none"/>
        </w:rPr>
        <w:t>万元，为专项债券的债务利息。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s="仿宋"/>
          <w:color w:val="auto"/>
          <w:sz w:val="32"/>
          <w:szCs w:val="32"/>
          <w:highlight w:val="none"/>
        </w:rPr>
        <w:t>政府性基金预算本级支出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万元，按项目</w:t>
      </w:r>
      <w:r>
        <w:rPr>
          <w:rFonts w:hint="eastAsia" w:ascii="仿宋_GB2312" w:hAnsi="仿宋_GB2312" w:eastAsia="仿宋_GB2312" w:cs="仿宋_GB2312"/>
          <w:color w:val="auto"/>
          <w:sz w:val="32"/>
          <w:szCs w:val="32"/>
          <w:highlight w:val="none"/>
          <w:lang w:val="en-US" w:eastAsia="zh-CN"/>
        </w:rPr>
        <w:t>明细分为：</w:t>
      </w:r>
      <w:r>
        <w:rPr>
          <w:rFonts w:hint="default" w:ascii="仿宋_GB2312" w:hAnsi="仿宋_GB2312" w:eastAsia="仿宋_GB2312" w:cs="仿宋_GB2312"/>
          <w:color w:val="auto"/>
          <w:sz w:val="32"/>
          <w:szCs w:val="32"/>
          <w:highlight w:val="none"/>
          <w:lang w:val="en-US" w:eastAsia="zh-CN"/>
        </w:rPr>
        <w:t>社会保障和就业支出</w:t>
      </w:r>
      <w:r>
        <w:rPr>
          <w:rFonts w:hint="eastAsia" w:ascii="仿宋_GB2312" w:hAnsi="仿宋_GB2312" w:eastAsia="仿宋_GB2312" w:cs="仿宋_GB2312"/>
          <w:color w:val="auto"/>
          <w:sz w:val="32"/>
          <w:szCs w:val="32"/>
          <w:highlight w:val="none"/>
          <w:lang w:val="en-US" w:eastAsia="zh-CN"/>
        </w:rPr>
        <w:t>7196万元为大中型水库移民后期扶持基金支出。</w:t>
      </w:r>
      <w:r>
        <w:rPr>
          <w:rFonts w:hint="default" w:ascii="仿宋_GB2312" w:hAnsi="仿宋_GB2312" w:eastAsia="仿宋_GB2312" w:cs="仿宋_GB2312"/>
          <w:color w:val="auto"/>
          <w:sz w:val="32"/>
          <w:szCs w:val="32"/>
          <w:highlight w:val="none"/>
          <w:lang w:val="en-US" w:eastAsia="zh-CN"/>
        </w:rPr>
        <w:t>城乡社区支出</w:t>
      </w:r>
      <w:r>
        <w:rPr>
          <w:rFonts w:hint="eastAsia" w:ascii="仿宋_GB2312" w:hAnsi="仿宋_GB2312" w:eastAsia="仿宋_GB2312" w:cs="仿宋_GB2312"/>
          <w:color w:val="auto"/>
          <w:sz w:val="32"/>
          <w:szCs w:val="32"/>
          <w:highlight w:val="none"/>
          <w:lang w:val="en-US" w:eastAsia="zh-CN"/>
        </w:rPr>
        <w:t>45568万元分别为：安排县住建局城市规划及城市基础设施建设1097万元，安排市政园林建设管护中心城市防洪支出70万元，安排征收办征地拆迁补偿支出32735万元，安排茅坪镇失地农民生活困难补助191万元，安排社会保险局被征地农民生活费480万元，安排县自然资源规划局征地拆迁补偿和土地开发支出9300万元，安排县开发区污水处理厂运行经费1195万元，“擦亮小城镇”项目资金500万元。</w:t>
      </w:r>
      <w:r>
        <w:rPr>
          <w:rFonts w:hint="default" w:ascii="仿宋_GB2312" w:hAnsi="仿宋_GB2312" w:eastAsia="仿宋_GB2312" w:cs="仿宋_GB2312"/>
          <w:color w:val="auto"/>
          <w:sz w:val="32"/>
          <w:szCs w:val="32"/>
          <w:highlight w:val="none"/>
          <w:lang w:val="en-US" w:eastAsia="zh-CN"/>
        </w:rPr>
        <w:t>农林水支出</w:t>
      </w:r>
      <w:r>
        <w:rPr>
          <w:rFonts w:hint="eastAsia" w:ascii="仿宋_GB2312" w:hAnsi="仿宋_GB2312" w:eastAsia="仿宋_GB2312" w:cs="仿宋_GB2312"/>
          <w:color w:val="auto"/>
          <w:sz w:val="32"/>
          <w:szCs w:val="32"/>
          <w:highlight w:val="none"/>
          <w:lang w:val="en-US" w:eastAsia="zh-CN"/>
        </w:rPr>
        <w:t>53096万元分别为：</w:t>
      </w:r>
      <w:r>
        <w:rPr>
          <w:rFonts w:hint="default" w:ascii="仿宋_GB2312" w:hAnsi="仿宋_GB2312" w:eastAsia="仿宋_GB2312" w:cs="仿宋_GB2312"/>
          <w:color w:val="auto"/>
          <w:sz w:val="32"/>
          <w:szCs w:val="32"/>
          <w:highlight w:val="none"/>
          <w:lang w:val="en-US" w:eastAsia="zh-CN"/>
        </w:rPr>
        <w:t>三峡水库库区基金支出3068</w:t>
      </w:r>
      <w:r>
        <w:rPr>
          <w:rFonts w:hint="eastAsia" w:ascii="仿宋_GB2312" w:hAnsi="仿宋_GB2312" w:eastAsia="仿宋_GB2312" w:cs="仿宋_GB2312"/>
          <w:color w:val="auto"/>
          <w:sz w:val="32"/>
          <w:szCs w:val="32"/>
          <w:highlight w:val="none"/>
          <w:lang w:val="en-US" w:eastAsia="zh-CN"/>
        </w:rPr>
        <w:t>万元，</w:t>
      </w:r>
      <w:r>
        <w:rPr>
          <w:rFonts w:hint="default" w:ascii="仿宋_GB2312" w:hAnsi="仿宋_GB2312" w:eastAsia="仿宋_GB2312" w:cs="仿宋_GB2312"/>
          <w:color w:val="auto"/>
          <w:sz w:val="32"/>
          <w:szCs w:val="32"/>
          <w:highlight w:val="none"/>
          <w:lang w:val="en-US" w:eastAsia="zh-CN"/>
        </w:rPr>
        <w:t>三峡后续工作</w:t>
      </w:r>
      <w:r>
        <w:rPr>
          <w:rFonts w:hint="eastAsia" w:ascii="仿宋_GB2312" w:hAnsi="仿宋_GB2312" w:eastAsia="仿宋_GB2312" w:cs="仿宋_GB2312"/>
          <w:color w:val="auto"/>
          <w:sz w:val="32"/>
          <w:szCs w:val="32"/>
          <w:highlight w:val="none"/>
          <w:lang w:val="en-US" w:eastAsia="zh-CN"/>
        </w:rPr>
        <w:t>50028万元。</w:t>
      </w:r>
      <w:r>
        <w:rPr>
          <w:rFonts w:hint="default" w:ascii="仿宋_GB2312" w:hAnsi="仿宋_GB2312" w:eastAsia="仿宋_GB2312" w:cs="仿宋_GB2312"/>
          <w:color w:val="auto"/>
          <w:sz w:val="32"/>
          <w:szCs w:val="32"/>
          <w:highlight w:val="none"/>
          <w:lang w:val="en-US" w:eastAsia="zh-CN"/>
        </w:rPr>
        <w:t>交通运输支出1500</w:t>
      </w:r>
      <w:r>
        <w:rPr>
          <w:rFonts w:hint="eastAsia" w:ascii="仿宋_GB2312" w:hAnsi="仿宋_GB2312" w:eastAsia="仿宋_GB2312" w:cs="仿宋_GB2312"/>
          <w:color w:val="auto"/>
          <w:sz w:val="32"/>
          <w:szCs w:val="32"/>
          <w:highlight w:val="none"/>
          <w:lang w:val="en-US" w:eastAsia="zh-CN"/>
        </w:rPr>
        <w:t>万元安排县</w:t>
      </w:r>
      <w:r>
        <w:rPr>
          <w:rFonts w:hint="default" w:ascii="仿宋_GB2312" w:hAnsi="仿宋_GB2312" w:eastAsia="仿宋_GB2312" w:cs="仿宋_GB2312"/>
          <w:color w:val="auto"/>
          <w:sz w:val="32"/>
          <w:szCs w:val="32"/>
          <w:highlight w:val="none"/>
          <w:lang w:val="en-US" w:eastAsia="zh-CN"/>
        </w:rPr>
        <w:t>交通局</w:t>
      </w:r>
      <w:r>
        <w:rPr>
          <w:rFonts w:hint="eastAsia" w:ascii="仿宋_GB2312" w:hAnsi="仿宋_GB2312" w:eastAsia="仿宋_GB2312" w:cs="仿宋_GB2312"/>
          <w:color w:val="auto"/>
          <w:sz w:val="32"/>
          <w:szCs w:val="32"/>
          <w:highlight w:val="none"/>
          <w:lang w:val="en-US" w:eastAsia="zh-CN"/>
        </w:rPr>
        <w:t>用于</w:t>
      </w:r>
      <w:r>
        <w:rPr>
          <w:rFonts w:hint="default" w:ascii="仿宋_GB2312" w:hAnsi="仿宋_GB2312" w:eastAsia="仿宋_GB2312" w:cs="仿宋_GB2312"/>
          <w:color w:val="auto"/>
          <w:sz w:val="32"/>
          <w:szCs w:val="32"/>
          <w:highlight w:val="none"/>
          <w:lang w:val="en-US" w:eastAsia="zh-CN"/>
        </w:rPr>
        <w:t>政府还贷公路</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其他支出</w:t>
      </w:r>
      <w:r>
        <w:rPr>
          <w:rFonts w:hint="eastAsia" w:ascii="仿宋_GB2312" w:hAnsi="仿宋_GB2312" w:eastAsia="仿宋_GB2312" w:cs="仿宋_GB2312"/>
          <w:color w:val="auto"/>
          <w:sz w:val="32"/>
          <w:szCs w:val="32"/>
          <w:highlight w:val="none"/>
          <w:lang w:val="en-US" w:eastAsia="zh-CN"/>
        </w:rPr>
        <w:t>1119万元为彩票公益金支出。</w:t>
      </w:r>
      <w:r>
        <w:rPr>
          <w:rFonts w:hint="default" w:ascii="仿宋_GB2312" w:hAnsi="仿宋_GB2312" w:eastAsia="仿宋_GB2312" w:cs="仿宋_GB2312"/>
          <w:color w:val="auto"/>
          <w:sz w:val="32"/>
          <w:szCs w:val="32"/>
          <w:highlight w:val="none"/>
          <w:lang w:val="en-US" w:eastAsia="zh-CN"/>
        </w:rPr>
        <w:t>债务付息支出</w:t>
      </w:r>
      <w:r>
        <w:rPr>
          <w:rFonts w:hint="eastAsia" w:ascii="仿宋_GB2312" w:hAnsi="仿宋_GB2312" w:eastAsia="仿宋_GB2312" w:cs="仿宋_GB2312"/>
          <w:color w:val="auto"/>
          <w:sz w:val="32"/>
          <w:szCs w:val="32"/>
          <w:highlight w:val="none"/>
          <w:lang w:val="en-US" w:eastAsia="zh-CN"/>
        </w:rPr>
        <w:t>8101万元用于归还省财政厅到期的专项债券利息。</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rPr>
        <w:t>政府性基金总收入</w:t>
      </w:r>
      <w:r>
        <w:rPr>
          <w:rFonts w:hint="eastAsia" w:ascii="仿宋_GB2312" w:hAnsi="仿宋" w:eastAsia="仿宋_GB2312" w:cs="仿宋"/>
          <w:color w:val="auto"/>
          <w:sz w:val="32"/>
          <w:szCs w:val="32"/>
          <w:highlight w:val="none"/>
          <w:lang w:val="en-US" w:eastAsia="zh-CN"/>
        </w:rPr>
        <w:t>171532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。其中本级收入</w:t>
      </w:r>
      <w:r>
        <w:rPr>
          <w:rFonts w:hint="eastAsia" w:ascii="仿宋_GB2312" w:hAnsi="仿宋" w:eastAsia="仿宋_GB2312" w:cs="仿宋"/>
          <w:color w:val="auto"/>
          <w:sz w:val="32"/>
          <w:szCs w:val="32"/>
          <w:highlight w:val="none"/>
          <w:lang w:val="en-US" w:eastAsia="zh-CN"/>
        </w:rPr>
        <w:t>75635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，专项转移支付收入</w:t>
      </w:r>
      <w:r>
        <w:rPr>
          <w:rFonts w:hint="eastAsia" w:ascii="仿宋_GB2312" w:hAnsi="仿宋" w:eastAsia="仿宋_GB2312" w:cs="仿宋"/>
          <w:color w:val="auto"/>
          <w:sz w:val="32"/>
          <w:szCs w:val="32"/>
          <w:highlight w:val="none"/>
          <w:lang w:val="en-US" w:eastAsia="zh-CN"/>
        </w:rPr>
        <w:t>51760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，债券转贷收入</w:t>
      </w:r>
      <w:r>
        <w:rPr>
          <w:rFonts w:hint="eastAsia" w:ascii="仿宋_GB2312" w:hAnsi="仿宋" w:eastAsia="仿宋_GB2312" w:cs="仿宋"/>
          <w:color w:val="auto"/>
          <w:sz w:val="32"/>
          <w:szCs w:val="32"/>
          <w:highlight w:val="none"/>
          <w:lang w:val="en-US" w:eastAsia="zh-CN"/>
        </w:rPr>
        <w:t>20509</w:t>
      </w:r>
      <w:r>
        <w:rPr>
          <w:rFonts w:hint="eastAsia" w:ascii="仿宋_GB2312" w:hAnsi="仿宋" w:eastAsia="仿宋_GB2312" w:cs="仿宋"/>
          <w:color w:val="auto"/>
          <w:sz w:val="32"/>
          <w:szCs w:val="32"/>
          <w:highlight w:val="none"/>
          <w:lang w:eastAsia="zh-CN"/>
        </w:rPr>
        <w:t>万元，上年结转收入</w:t>
      </w:r>
      <w:r>
        <w:rPr>
          <w:rFonts w:hint="eastAsia" w:ascii="仿宋_GB2312" w:hAnsi="仿宋" w:eastAsia="仿宋_GB2312" w:cs="仿宋"/>
          <w:color w:val="auto"/>
          <w:sz w:val="32"/>
          <w:szCs w:val="32"/>
          <w:highlight w:val="none"/>
          <w:lang w:val="en-US" w:eastAsia="zh-CN"/>
        </w:rPr>
        <w:t>23628万元</w:t>
      </w:r>
      <w:r>
        <w:rPr>
          <w:rFonts w:hint="eastAsia" w:ascii="仿宋_GB2312" w:hAnsi="仿宋" w:eastAsia="仿宋_GB2312" w:cs="仿宋"/>
          <w:color w:val="auto"/>
          <w:sz w:val="32"/>
          <w:szCs w:val="32"/>
          <w:highlight w:val="none"/>
        </w:rPr>
        <w:t>。政府性基金总支出</w:t>
      </w:r>
      <w:r>
        <w:rPr>
          <w:rFonts w:hint="eastAsia" w:ascii="仿宋_GB2312" w:hAnsi="仿宋" w:eastAsia="仿宋_GB2312" w:cs="仿宋"/>
          <w:color w:val="auto"/>
          <w:sz w:val="32"/>
          <w:szCs w:val="32"/>
          <w:highlight w:val="none"/>
          <w:lang w:val="en-US" w:eastAsia="zh-CN"/>
        </w:rPr>
        <w:t>171532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，债务还本支出</w:t>
      </w:r>
      <w:r>
        <w:rPr>
          <w:rFonts w:hint="eastAsia" w:ascii="仿宋_GB2312" w:hAnsi="仿宋" w:eastAsia="仿宋_GB2312" w:cs="仿宋"/>
          <w:color w:val="auto"/>
          <w:sz w:val="32"/>
          <w:szCs w:val="32"/>
          <w:highlight w:val="none"/>
          <w:lang w:val="en-US" w:eastAsia="zh-CN"/>
        </w:rPr>
        <w:t>54952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。收支相抵，预算平衡。</w:t>
      </w:r>
      <w:r>
        <w:rPr>
          <w:rFonts w:hint="eastAsia" w:ascii="仿宋_GB2312" w:hAnsi="仿宋" w:eastAsia="仿宋_GB2312" w:cs="仿宋"/>
          <w:color w:val="auto"/>
          <w:sz w:val="32"/>
          <w:szCs w:val="32"/>
          <w:highlight w:val="none"/>
          <w:lang w:val="en-US" w:eastAsia="zh-CN"/>
        </w:rPr>
        <w:t xml:space="preserve">  </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default"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rPr>
        <w:t>3、社会保险基金预算草案</w:t>
      </w:r>
    </w:p>
    <w:p>
      <w:pPr>
        <w:keepNext w:val="0"/>
        <w:keepLines w:val="0"/>
        <w:pageBreakBefore w:val="0"/>
        <w:kinsoku/>
        <w:wordWrap/>
        <w:overflowPunct/>
        <w:topLinePunct w:val="0"/>
        <w:autoSpaceDE/>
        <w:autoSpaceDN/>
        <w:bidi w:val="0"/>
        <w:adjustRightInd w:val="0"/>
        <w:spacing w:line="560" w:lineRule="exact"/>
        <w:ind w:firstLine="640" w:firstLineChars="200"/>
        <w:textAlignment w:val="auto"/>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2021年企业职工养老保险基金划归省级统筹，城乡居民医疗保险基金划归市级统筹；2022年开始工伤保险基金划归市级统筹。2022年</w:t>
      </w:r>
      <w:r>
        <w:rPr>
          <w:rFonts w:hint="eastAsia" w:ascii="仿宋_GB2312" w:hAnsi="仿宋" w:eastAsia="仿宋_GB2312" w:cs="仿宋"/>
          <w:color w:val="auto"/>
          <w:sz w:val="32"/>
          <w:szCs w:val="32"/>
          <w:highlight w:val="none"/>
        </w:rPr>
        <w:t>社会保险基金收入总量为</w:t>
      </w:r>
      <w:r>
        <w:rPr>
          <w:rFonts w:hint="eastAsia" w:ascii="仿宋_GB2312" w:hAnsi="仿宋" w:eastAsia="仿宋_GB2312" w:cs="仿宋"/>
          <w:color w:val="auto"/>
          <w:sz w:val="32"/>
          <w:szCs w:val="32"/>
          <w:highlight w:val="none"/>
          <w:lang w:val="en-US" w:eastAsia="zh-CN"/>
        </w:rPr>
        <w:t>109301</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。其中：历年结余</w:t>
      </w:r>
      <w:r>
        <w:rPr>
          <w:rFonts w:hint="eastAsia" w:ascii="仿宋_GB2312" w:hAnsi="仿宋" w:eastAsia="仿宋_GB2312" w:cs="仿宋"/>
          <w:color w:val="auto"/>
          <w:sz w:val="32"/>
          <w:szCs w:val="32"/>
          <w:highlight w:val="none"/>
          <w:lang w:val="en-US" w:eastAsia="zh-CN"/>
        </w:rPr>
        <w:t>46262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，当年收入</w:t>
      </w:r>
      <w:r>
        <w:rPr>
          <w:rFonts w:hint="eastAsia" w:ascii="仿宋_GB2312" w:hAnsi="仿宋" w:eastAsia="仿宋_GB2312" w:cs="仿宋"/>
          <w:color w:val="auto"/>
          <w:sz w:val="32"/>
          <w:szCs w:val="32"/>
          <w:highlight w:val="none"/>
          <w:lang w:val="en-US" w:eastAsia="zh-CN"/>
        </w:rPr>
        <w:t>63039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；支出总量5</w:t>
      </w:r>
      <w:r>
        <w:rPr>
          <w:rFonts w:hint="eastAsia" w:ascii="仿宋_GB2312" w:hAnsi="仿宋" w:eastAsia="仿宋_GB2312" w:cs="仿宋"/>
          <w:color w:val="auto"/>
          <w:sz w:val="32"/>
          <w:szCs w:val="32"/>
          <w:highlight w:val="none"/>
          <w:lang w:val="en-US" w:eastAsia="zh-CN"/>
        </w:rPr>
        <w:t>6938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收支相抵，滚存结余</w:t>
      </w:r>
      <w:r>
        <w:rPr>
          <w:rFonts w:hint="eastAsia" w:ascii="仿宋_GB2312" w:hAnsi="仿宋" w:eastAsia="仿宋_GB2312" w:cs="仿宋"/>
          <w:color w:val="auto"/>
          <w:sz w:val="32"/>
          <w:szCs w:val="32"/>
          <w:highlight w:val="none"/>
          <w:lang w:val="en-US" w:eastAsia="zh-CN"/>
        </w:rPr>
        <w:t>52363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主要项目收支情况：城乡居民基本养老保险基金收入14586万元，其中社会保险费收入3614万元，财政补贴收入10496万元，利息收入464万元，转移收入12万元；支出1134</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万元，其中社会保险待遇支出1131</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万元，转移支出32万元，本年收支结余324</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城镇职工基本医疗保险基金收入14073万元，其中社会保险费收入13709万元，财政补贴收入68万元，利息收入183万元，转移收入113万元；支出</w:t>
      </w:r>
      <w:r>
        <w:rPr>
          <w:rFonts w:hint="eastAsia" w:ascii="仿宋_GB2312" w:hAnsi="仿宋" w:eastAsia="仿宋_GB2312" w:cs="仿宋"/>
          <w:color w:val="auto"/>
          <w:sz w:val="32"/>
          <w:szCs w:val="32"/>
          <w:highlight w:val="none"/>
          <w:lang w:val="en-US" w:eastAsia="zh-CN"/>
        </w:rPr>
        <w:t>11215</w:t>
      </w:r>
      <w:r>
        <w:rPr>
          <w:rFonts w:hint="eastAsia" w:ascii="仿宋_GB2312" w:hAnsi="仿宋" w:eastAsia="仿宋_GB2312" w:cs="仿宋"/>
          <w:color w:val="auto"/>
          <w:sz w:val="32"/>
          <w:szCs w:val="32"/>
          <w:highlight w:val="none"/>
        </w:rPr>
        <w:t>万元，其中社会保险待遇支出</w:t>
      </w:r>
      <w:r>
        <w:rPr>
          <w:rFonts w:hint="eastAsia" w:ascii="仿宋_GB2312" w:hAnsi="仿宋" w:eastAsia="仿宋_GB2312" w:cs="仿宋"/>
          <w:color w:val="auto"/>
          <w:sz w:val="32"/>
          <w:szCs w:val="32"/>
          <w:highlight w:val="none"/>
          <w:lang w:val="en-US" w:eastAsia="zh-CN"/>
        </w:rPr>
        <w:t>10905</w:t>
      </w:r>
      <w:r>
        <w:rPr>
          <w:rFonts w:hint="eastAsia" w:ascii="仿宋_GB2312" w:hAnsi="仿宋" w:eastAsia="仿宋_GB2312" w:cs="仿宋"/>
          <w:color w:val="auto"/>
          <w:sz w:val="32"/>
          <w:szCs w:val="32"/>
          <w:highlight w:val="none"/>
        </w:rPr>
        <w:t>万元，转移支出126万元，其他支出184万元，本年收支结余</w:t>
      </w:r>
      <w:r>
        <w:rPr>
          <w:rFonts w:hint="eastAsia" w:ascii="仿宋_GB2312" w:hAnsi="仿宋" w:eastAsia="仿宋_GB2312" w:cs="仿宋"/>
          <w:color w:val="auto"/>
          <w:sz w:val="32"/>
          <w:szCs w:val="32"/>
          <w:highlight w:val="none"/>
          <w:lang w:val="en-US" w:eastAsia="zh-CN"/>
        </w:rPr>
        <w:t>2858</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失业保险基金收入146</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万元，其中社会保险费收入1140万元，财政补贴收入25</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万元，利息收入11万元，转移收入4万元，其他收入1万元，上级补助收入54万元；支出1463万元，其中社会保险费待遇支出1169万元，技能提升补贴支出240万元，上解上级支出54万元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本年收支结余</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机关事业养老保险收入32916万元，其中社会保险费收入14508万元，财政补贴收入18252万元，利息收入6万元，转移收入150万元；支出32916万元，其中社会保险待遇支出32386万元，转移支出530万元。</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ascii="仿宋_GB2312" w:hAnsi="仿宋" w:eastAsia="仿宋_GB2312" w:cs="仿宋"/>
          <w:b/>
          <w:bCs/>
          <w:color w:val="auto"/>
          <w:sz w:val="32"/>
          <w:szCs w:val="32"/>
          <w:highlight w:val="none"/>
        </w:rPr>
      </w:pPr>
      <w:r>
        <w:rPr>
          <w:rFonts w:hint="eastAsia" w:ascii="仿宋_GB2312" w:hAnsi="仿宋" w:eastAsia="仿宋_GB2312" w:cs="仿宋"/>
          <w:b/>
          <w:bCs/>
          <w:color w:val="auto"/>
          <w:sz w:val="32"/>
          <w:szCs w:val="32"/>
          <w:highlight w:val="none"/>
        </w:rPr>
        <w:t>4、国有资本经营预算草案</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hAnsi="仿宋" w:eastAsia="仿宋_GB2312" w:cs="仿宋"/>
          <w:color w:val="auto"/>
          <w:sz w:val="32"/>
          <w:szCs w:val="32"/>
          <w:highlight w:val="none"/>
        </w:rPr>
        <w:t>国有资本经营预算总收入</w:t>
      </w:r>
      <w:r>
        <w:rPr>
          <w:rFonts w:hint="eastAsia" w:ascii="仿宋_GB2312" w:hAnsi="仿宋" w:eastAsia="仿宋_GB2312" w:cs="仿宋"/>
          <w:color w:val="auto"/>
          <w:sz w:val="32"/>
          <w:szCs w:val="32"/>
          <w:highlight w:val="none"/>
          <w:lang w:val="en-US" w:eastAsia="zh-CN"/>
        </w:rPr>
        <w:t>707</w:t>
      </w:r>
      <w:r>
        <w:rPr>
          <w:rFonts w:hint="eastAsia" w:ascii="仿宋_GB2312" w:hAnsi="仿宋" w:eastAsia="仿宋_GB2312" w:cs="仿宋"/>
          <w:color w:val="auto"/>
          <w:sz w:val="32"/>
          <w:szCs w:val="32"/>
          <w:highlight w:val="none"/>
        </w:rPr>
        <w:t>万元，其中：利润收入</w:t>
      </w:r>
      <w:r>
        <w:rPr>
          <w:rFonts w:hint="eastAsia" w:ascii="仿宋_GB2312" w:hAnsi="仿宋" w:eastAsia="仿宋_GB2312" w:cs="仿宋"/>
          <w:color w:val="auto"/>
          <w:sz w:val="32"/>
          <w:szCs w:val="32"/>
          <w:highlight w:val="none"/>
          <w:lang w:val="en-US" w:eastAsia="zh-CN"/>
        </w:rPr>
        <w:t>447</w:t>
      </w:r>
      <w:r>
        <w:rPr>
          <w:rFonts w:hint="eastAsia" w:ascii="仿宋_GB2312" w:hAnsi="仿宋" w:eastAsia="仿宋_GB2312" w:cs="仿宋"/>
          <w:color w:val="auto"/>
          <w:sz w:val="32"/>
          <w:szCs w:val="32"/>
          <w:highlight w:val="none"/>
        </w:rPr>
        <w:t>万元，股利股息收入23</w:t>
      </w: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上年结转22万元</w:t>
      </w:r>
      <w:r>
        <w:rPr>
          <w:rFonts w:hint="eastAsia" w:ascii="仿宋_GB2312" w:hAnsi="仿宋" w:eastAsia="仿宋_GB2312" w:cs="仿宋"/>
          <w:color w:val="auto"/>
          <w:sz w:val="32"/>
          <w:szCs w:val="32"/>
          <w:highlight w:val="none"/>
        </w:rPr>
        <w:t>。国有资本经营预算总支出</w:t>
      </w:r>
      <w:r>
        <w:rPr>
          <w:rFonts w:hint="eastAsia" w:ascii="仿宋_GB2312" w:hAnsi="仿宋" w:eastAsia="仿宋_GB2312" w:cs="仿宋"/>
          <w:color w:val="auto"/>
          <w:sz w:val="32"/>
          <w:szCs w:val="32"/>
          <w:highlight w:val="none"/>
          <w:lang w:val="en-US" w:eastAsia="zh-CN"/>
        </w:rPr>
        <w:t>707</w:t>
      </w:r>
      <w:r>
        <w:rPr>
          <w:rFonts w:hint="eastAsia" w:ascii="仿宋_GB2312" w:hAnsi="仿宋" w:eastAsia="仿宋_GB2312" w:cs="仿宋"/>
          <w:color w:val="auto"/>
          <w:sz w:val="32"/>
          <w:szCs w:val="32"/>
          <w:highlight w:val="none"/>
        </w:rPr>
        <w:t>万元，其中</w:t>
      </w:r>
      <w:r>
        <w:rPr>
          <w:rFonts w:hint="eastAsia" w:ascii="仿宋_GB2312" w:hAnsi="仿宋" w:eastAsia="仿宋_GB2312" w:cs="仿宋"/>
          <w:color w:val="auto"/>
          <w:sz w:val="32"/>
          <w:szCs w:val="32"/>
          <w:highlight w:val="none"/>
          <w:lang w:eastAsia="zh-CN"/>
        </w:rPr>
        <w:t>：解决历史遗留及改革成本支出</w:t>
      </w:r>
      <w:r>
        <w:rPr>
          <w:rFonts w:hint="eastAsia" w:ascii="仿宋_GB2312" w:hAnsi="仿宋" w:eastAsia="仿宋_GB2312" w:cs="仿宋"/>
          <w:color w:val="auto"/>
          <w:sz w:val="32"/>
          <w:szCs w:val="32"/>
          <w:highlight w:val="none"/>
          <w:lang w:val="en-US" w:eastAsia="zh-CN"/>
        </w:rPr>
        <w:t>22万元，</w:t>
      </w:r>
      <w:r>
        <w:rPr>
          <w:rFonts w:hint="eastAsia" w:ascii="仿宋_GB2312" w:hAnsi="仿宋" w:eastAsia="仿宋_GB2312" w:cs="仿宋"/>
          <w:color w:val="auto"/>
          <w:sz w:val="32"/>
          <w:szCs w:val="32"/>
          <w:highlight w:val="none"/>
        </w:rPr>
        <w:t>安排资本金支出</w:t>
      </w:r>
      <w:r>
        <w:rPr>
          <w:rFonts w:hint="eastAsia" w:ascii="仿宋_GB2312" w:hAnsi="仿宋" w:eastAsia="仿宋_GB2312" w:cs="仿宋"/>
          <w:color w:val="auto"/>
          <w:sz w:val="32"/>
          <w:szCs w:val="32"/>
          <w:highlight w:val="none"/>
          <w:lang w:val="en-US" w:eastAsia="zh-CN"/>
        </w:rPr>
        <w:t>372</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，其他国有资本经营预算支出</w:t>
      </w:r>
      <w:r>
        <w:rPr>
          <w:rFonts w:hint="eastAsia" w:ascii="仿宋_GB2312" w:hAnsi="仿宋" w:eastAsia="仿宋_GB2312" w:cs="仿宋"/>
          <w:color w:val="auto"/>
          <w:sz w:val="32"/>
          <w:szCs w:val="32"/>
          <w:highlight w:val="none"/>
          <w:lang w:val="en-US" w:eastAsia="zh-CN"/>
        </w:rPr>
        <w:t>75万元，</w:t>
      </w:r>
      <w:r>
        <w:rPr>
          <w:rFonts w:hint="eastAsia" w:ascii="仿宋_GB2312" w:hAnsi="仿宋" w:eastAsia="仿宋_GB2312" w:cs="仿宋"/>
          <w:color w:val="auto"/>
          <w:sz w:val="32"/>
          <w:szCs w:val="32"/>
          <w:highlight w:val="none"/>
        </w:rPr>
        <w:t>调入公共预算23</w:t>
      </w: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万元。</w:t>
      </w:r>
      <w:r>
        <w:rPr>
          <w:rFonts w:hint="eastAsia" w:ascii="仿宋_GB2312" w:eastAsia="仿宋_GB2312"/>
          <w:color w:val="auto"/>
          <w:sz w:val="32"/>
          <w:szCs w:val="32"/>
          <w:highlight w:val="none"/>
        </w:rPr>
        <w:t>收支相抵，预算平衡。</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三、</w:t>
      </w:r>
      <w:r>
        <w:rPr>
          <w:rFonts w:hint="eastAsia" w:ascii="黑体" w:hAnsi="黑体" w:eastAsia="黑体"/>
          <w:color w:val="auto"/>
          <w:sz w:val="32"/>
          <w:szCs w:val="32"/>
          <w:highlight w:val="none"/>
        </w:rPr>
        <w:t>完成202</w:t>
      </w:r>
      <w:r>
        <w:rPr>
          <w:rFonts w:hint="eastAsia" w:ascii="黑体" w:hAnsi="黑体" w:eastAsia="黑体"/>
          <w:color w:val="auto"/>
          <w:sz w:val="32"/>
          <w:szCs w:val="32"/>
          <w:highlight w:val="none"/>
          <w:lang w:val="en-US" w:eastAsia="zh-CN"/>
        </w:rPr>
        <w:t>2</w:t>
      </w:r>
      <w:r>
        <w:rPr>
          <w:rFonts w:hint="eastAsia" w:ascii="黑体" w:hAnsi="黑体" w:eastAsia="黑体"/>
          <w:color w:val="auto"/>
          <w:sz w:val="32"/>
          <w:szCs w:val="32"/>
          <w:highlight w:val="none"/>
        </w:rPr>
        <w:t>年预算目标的主要措施</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2022年，预算工作坚持以习近平新时代中国特色社会主义思想为指导，贯彻落实县委各项决策部署，以建立健全现代财政制度、巩固提升财政服务大局和保障发展能力为重点，坚持稳中求进、攻坚破难，全面深化财政改革，切实加强财政管理和服务，助力全县经济社会高质量发展。</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（一）强化财源建设，紧扣财政工作“主旋律”。</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加强财源培植。进一步强化税收征管，确保收入均衡入库。借助全员招商工作契机，将引得进、稳得住、可增效的企业引进来，发挥财政资金四两拨千斤的杠杆作用，壮大地方可用财力。</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加强协调争取。增强财政与金融机构之间的联动，充分发挥财政存款与金融贷款对经济社会发展的推动作用，利用财政资金撬动金融机构服务地方经济发展的能力。争取中石油、中石化、中国烟草等中央、省企业在本地增加缴税额度，增加税收来源，补充地方收入。</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加强协税护税。修改完善协税护税管理办法，鼓励大型商超、建筑企业在本地注册分公司，形成综合治税合力。</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（二）坚持服务大局，着力解决资金保障“关键题”。</w:t>
      </w:r>
    </w:p>
    <w:p>
      <w:pPr>
        <w:pStyle w:val="5"/>
        <w:keepNext w:val="0"/>
        <w:keepLines w:val="0"/>
        <w:pageBreakBefore w:val="0"/>
        <w:kinsoku/>
        <w:wordWrap/>
        <w:overflowPunct/>
        <w:topLinePunct w:val="0"/>
        <w:autoSpaceDE/>
        <w:autoSpaceDN/>
        <w:bidi w:val="0"/>
        <w:spacing w:line="560" w:lineRule="exact"/>
        <w:rPr>
          <w:rFonts w:hint="eastAsia"/>
          <w:color w:val="auto"/>
          <w:highlight w:val="none"/>
          <w:lang w:val="en-US" w:eastAsia="zh-CN"/>
        </w:rPr>
      </w:pPr>
      <w:r>
        <w:rPr>
          <w:rFonts w:hint="eastAsia"/>
          <w:b/>
          <w:bCs/>
          <w:color w:val="auto"/>
          <w:lang w:val="en-US" w:eastAsia="zh-CN"/>
        </w:rPr>
        <w:t>一是</w:t>
      </w:r>
      <w:r>
        <w:rPr>
          <w:rFonts w:hint="eastAsia"/>
          <w:color w:val="auto"/>
          <w:lang w:val="en-US" w:eastAsia="zh-CN"/>
        </w:rPr>
        <w:t>积极向上争取资金。准确把握中央、省相关政策调控方向，积极主动取得联系，深入挖掘政策潜力，聚焦政府债券重点支持领域，谋划一批重点项目，做好债券项目储备，力争债券资金达到13亿元。</w:t>
      </w:r>
      <w:r>
        <w:rPr>
          <w:rFonts w:hint="eastAsia"/>
          <w:b/>
          <w:bCs/>
          <w:color w:val="auto"/>
          <w:highlight w:val="none"/>
          <w:lang w:val="en-US" w:eastAsia="zh-CN"/>
        </w:rPr>
        <w:t>二是</w:t>
      </w:r>
      <w:r>
        <w:rPr>
          <w:rFonts w:hint="eastAsia"/>
          <w:color w:val="auto"/>
          <w:highlight w:val="none"/>
          <w:lang w:val="en-US" w:eastAsia="zh-CN"/>
        </w:rPr>
        <w:t>集中财力办大事。聚焦县委、县政府重大决策部署，为建设“四县四区”提供资金保障。</w:t>
      </w:r>
      <w:r>
        <w:rPr>
          <w:rFonts w:hint="eastAsia"/>
          <w:b/>
          <w:bCs/>
          <w:color w:val="auto"/>
          <w:highlight w:val="none"/>
          <w:lang w:val="en-US" w:eastAsia="zh-CN"/>
        </w:rPr>
        <w:t>三是</w:t>
      </w:r>
      <w:r>
        <w:rPr>
          <w:rFonts w:hint="eastAsia"/>
          <w:color w:val="auto"/>
          <w:highlight w:val="none"/>
          <w:lang w:val="en-US" w:eastAsia="zh-CN"/>
        </w:rPr>
        <w:t>统筹财力保民生。对国家、省出台的民生支出政策，做到“应保必保”；对本级地方出台的民生支出政策，坚持“量力而行”与“尽力而为”相结合，与财力保障水平相匹配，通过政策评估等方式确定合理的支出标准与稳定的保障机制，提高民生政策的可持续性。</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（三）推动改革创新，持续做好提质增效“大文章”。</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eastAsia="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一是</w:t>
      </w:r>
      <w:r>
        <w:rPr>
          <w:rFonts w:hint="eastAsia" w:ascii="仿宋_GB2312" w:hAnsi="仿宋_GB2312" w:eastAsia="仿宋_GB2312" w:cs="仿宋_GB2312"/>
          <w:color w:val="auto"/>
          <w:sz w:val="32"/>
          <w:szCs w:val="32"/>
          <w:highlight w:val="none"/>
          <w:lang w:eastAsia="zh-CN"/>
        </w:rPr>
        <w:t>全面深化预算管理一体化改革。</w:t>
      </w:r>
      <w:r>
        <w:rPr>
          <w:rFonts w:hint="eastAsia" w:ascii="仿宋_GB2312" w:hAnsi="仿宋_GB2312" w:eastAsia="仿宋_GB2312" w:cs="仿宋_GB2312"/>
          <w:color w:val="auto"/>
          <w:sz w:val="32"/>
          <w:szCs w:val="32"/>
          <w:highlight w:val="none"/>
          <w:lang w:val="en-US" w:eastAsia="zh-CN"/>
        </w:rPr>
        <w:t>2022年开始全面推广预算管理一体化系统，将预算编制、执行、支付、调整、调剂、非税、采购等一系列财政重点环节都纳入预算一体化统一管理。切实做好新老系统承接换代工作，厘清工作细节，加强新系统的学习和培训，加快度过改革的“阵痛期”。</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lang w:val="en-US" w:eastAsia="zh-CN"/>
        </w:rPr>
        <w:t>加大对各乡镇新一轮财政体制实施的指导。</w:t>
      </w:r>
      <w:r>
        <w:rPr>
          <w:rFonts w:hint="eastAsia" w:ascii="仿宋_GB2312" w:eastAsia="仿宋_GB2312"/>
          <w:color w:val="auto"/>
          <w:sz w:val="32"/>
          <w:szCs w:val="32"/>
          <w:highlight w:val="none"/>
        </w:rPr>
        <w:t>理顺县乡财政分配关系，培植涵养财源，巩固和加强基层政权建设，促进县乡财政高质量发展</w:t>
      </w:r>
      <w:r>
        <w:rPr>
          <w:rFonts w:hint="eastAsia" w:ascii="仿宋_GB2312" w:eastAsia="仿宋_GB2312"/>
          <w:color w:val="auto"/>
          <w:sz w:val="32"/>
          <w:szCs w:val="32"/>
          <w:highlight w:val="none"/>
          <w:lang w:eastAsia="zh-CN"/>
        </w:rPr>
        <w:t>。</w:t>
      </w:r>
      <w:r>
        <w:rPr>
          <w:rFonts w:hint="eastAsia" w:ascii="仿宋_GB2312" w:eastAsia="仿宋_GB2312"/>
          <w:b/>
          <w:bCs/>
          <w:color w:val="auto"/>
          <w:sz w:val="32"/>
          <w:szCs w:val="32"/>
          <w:highlight w:val="none"/>
          <w:lang w:eastAsia="zh-CN"/>
        </w:rPr>
        <w:t>三是</w:t>
      </w:r>
      <w:r>
        <w:rPr>
          <w:rFonts w:hint="eastAsia" w:ascii="仿宋_GB2312" w:eastAsia="仿宋_GB2312"/>
          <w:color w:val="auto"/>
          <w:sz w:val="32"/>
          <w:szCs w:val="32"/>
          <w:highlight w:val="none"/>
          <w:lang w:eastAsia="zh-CN"/>
        </w:rPr>
        <w:t>强化预算绩效管理。严格落实《预算法》及其实施条例，加强预算执行的监督检查。探索建立县直部门预算执行进度定期通报制度，切实加快预算执行，提高资金使用绩效。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（四）树立底线思维，全力打好风险防控“组合拳”。</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一是</w:t>
      </w:r>
      <w:r>
        <w:rPr>
          <w:rFonts w:hint="eastAsia" w:ascii="仿宋_GB2312" w:hAnsi="仿宋_GB2312" w:eastAsia="仿宋_GB2312" w:cs="仿宋_GB2312"/>
          <w:color w:val="auto"/>
          <w:sz w:val="32"/>
          <w:szCs w:val="32"/>
          <w:highlight w:val="none"/>
          <w:lang w:val="en-US" w:eastAsia="zh-CN"/>
        </w:rPr>
        <w:t>严格执行人大批准的预算，坚持先有预算后有支出，强化预算对执行的控制。</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lang w:val="en-US" w:eastAsia="zh-CN"/>
        </w:rPr>
        <w:t>完善事前审核、事中监控、事后处置的“三保”预算管理工作机制，坚持“三保”支出在预算安排中的优先地位，坚决防范基层“三保”风险。</w:t>
      </w:r>
      <w:r>
        <w:rPr>
          <w:rFonts w:hint="eastAsia" w:ascii="仿宋_GB2312" w:hAnsi="仿宋_GB2312" w:eastAsia="仿宋_GB2312" w:cs="仿宋_GB2312"/>
          <w:b/>
          <w:bCs/>
          <w:color w:val="auto"/>
          <w:sz w:val="32"/>
          <w:szCs w:val="32"/>
          <w:highlight w:val="none"/>
          <w:lang w:val="en-US" w:eastAsia="zh-CN"/>
        </w:rPr>
        <w:t>三是</w:t>
      </w:r>
      <w:r>
        <w:rPr>
          <w:rFonts w:hint="eastAsia" w:ascii="仿宋_GB2312" w:hAnsi="仿宋_GB2312" w:eastAsia="仿宋_GB2312" w:cs="仿宋_GB2312"/>
          <w:color w:val="auto"/>
          <w:sz w:val="32"/>
          <w:szCs w:val="32"/>
          <w:highlight w:val="none"/>
          <w:lang w:val="en-US" w:eastAsia="zh-CN"/>
        </w:rPr>
        <w:t>加强地方政府债务管理，坚持“疏堵结合、开好前门、严堵后门”的原则，强化债务风险管控和债券全生命周期管理。完善政府债务动态监测和风险评估预警机制，坚决杜绝新增隐性债务，大力化解存量债务，确保政府债券资金使用高效、风险总体可控。</w:t>
      </w:r>
      <w:r>
        <w:rPr>
          <w:rFonts w:hint="eastAsia" w:ascii="仿宋_GB2312" w:hAnsi="仿宋_GB2312" w:eastAsia="仿宋_GB2312" w:cs="仿宋_GB2312"/>
          <w:b/>
          <w:bCs/>
          <w:color w:val="auto"/>
          <w:sz w:val="32"/>
          <w:szCs w:val="32"/>
          <w:highlight w:val="none"/>
          <w:lang w:val="en-US" w:eastAsia="zh-CN"/>
        </w:rPr>
        <w:t>四是</w:t>
      </w:r>
      <w:r>
        <w:rPr>
          <w:rFonts w:hint="eastAsia" w:ascii="仿宋_GB2312" w:hAnsi="仿宋_GB2312" w:eastAsia="仿宋_GB2312" w:cs="仿宋_GB2312"/>
          <w:color w:val="auto"/>
          <w:sz w:val="32"/>
          <w:szCs w:val="32"/>
          <w:highlight w:val="none"/>
          <w:lang w:val="en-US" w:eastAsia="zh-CN"/>
        </w:rPr>
        <w:t>加强国有资本管理。定期对国有企业经营、重大项目投资、融资提现等情况进行汇总分析，形成风险防范监管合力，确保国有资本安全高效运行。</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color w:val="auto"/>
          <w:sz w:val="32"/>
          <w:szCs w:val="32"/>
          <w:highlight w:val="none"/>
          <w:lang w:eastAsia="zh-CN"/>
        </w:rPr>
        <w:t>各位代表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rPr>
        <w:t>的财政工作</w:t>
      </w:r>
      <w:r>
        <w:rPr>
          <w:rFonts w:hint="eastAsia" w:ascii="仿宋_GB2312" w:hAnsi="仿宋_GB2312" w:eastAsia="仿宋_GB2312" w:cs="仿宋_GB2312"/>
          <w:color w:val="auto"/>
          <w:sz w:val="32"/>
          <w:szCs w:val="32"/>
          <w:highlight w:val="none"/>
          <w:lang w:val="en-US" w:eastAsia="zh-CN"/>
        </w:rPr>
        <w:t>既面临收支矛盾突出的严峻形势，又承担着深化预算管理改革的艰巨任务，</w:t>
      </w:r>
      <w:r>
        <w:rPr>
          <w:rFonts w:hint="eastAsia" w:ascii="仿宋_GB2312" w:hAnsi="仿宋_GB2312" w:eastAsia="仿宋_GB2312" w:cs="仿宋_GB2312"/>
          <w:color w:val="auto"/>
          <w:sz w:val="32"/>
          <w:szCs w:val="32"/>
          <w:highlight w:val="none"/>
        </w:rPr>
        <w:t>我们将在</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委的坚强领导下，在</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人大、</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政协的监督支持下，迎难而上、真抓实干，以更加务实的作风、更加有为的担当，扎实推进财政各项工作，为</w:t>
      </w:r>
      <w:r>
        <w:rPr>
          <w:rFonts w:hint="eastAsia" w:ascii="仿宋_GB2312" w:hAnsi="仿宋_GB2312" w:eastAsia="仿宋_GB2312" w:cs="仿宋_GB2312"/>
          <w:color w:val="auto"/>
          <w:sz w:val="32"/>
          <w:szCs w:val="32"/>
          <w:highlight w:val="none"/>
          <w:lang w:eastAsia="zh-CN"/>
        </w:rPr>
        <w:t>加快</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实现“三个倍增”、打造“五个高地”，加速推进“四县四区”建设提供坚实财政支撑！</w:t>
      </w:r>
      <w:r>
        <w:rPr>
          <w:rFonts w:hint="eastAsia" w:ascii="仿宋_GB2312" w:hAnsi="仿宋_GB2312" w:eastAsia="仿宋_GB2312" w:cs="仿宋_GB2312"/>
          <w:b w:val="0"/>
          <w:bCs w:val="0"/>
          <w:color w:val="auto"/>
          <w:sz w:val="32"/>
          <w:szCs w:val="32"/>
          <w:highlight w:val="none"/>
          <w:lang w:val="en-US" w:eastAsia="zh-CN"/>
        </w:rPr>
        <w:t>以优异成绩迎接党的二十大胜利召开！</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附件：1.名词解释</w:t>
      </w:r>
    </w:p>
    <w:p>
      <w:pPr>
        <w:keepNext w:val="0"/>
        <w:keepLines w:val="0"/>
        <w:pageBreakBefore w:val="0"/>
        <w:kinsoku/>
        <w:wordWrap/>
        <w:overflowPunct/>
        <w:topLinePunct w:val="0"/>
        <w:autoSpaceDE/>
        <w:autoSpaceDN/>
        <w:bidi w:val="0"/>
        <w:spacing w:line="560" w:lineRule="exact"/>
        <w:ind w:firstLine="1600" w:firstLineChars="5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2.202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年财政预算执行情况表</w:t>
      </w:r>
    </w:p>
    <w:p>
      <w:pPr>
        <w:keepNext w:val="0"/>
        <w:keepLines w:val="0"/>
        <w:pageBreakBefore w:val="0"/>
        <w:kinsoku/>
        <w:wordWrap/>
        <w:overflowPunct/>
        <w:topLinePunct w:val="0"/>
        <w:autoSpaceDE/>
        <w:autoSpaceDN/>
        <w:bidi w:val="0"/>
        <w:spacing w:line="560" w:lineRule="exact"/>
        <w:ind w:firstLine="1600" w:firstLineChars="5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3.20</w:t>
      </w:r>
      <w:r>
        <w:rPr>
          <w:rFonts w:hint="eastAsia" w:ascii="仿宋_GB2312" w:hAnsi="仿宋" w:eastAsia="仿宋_GB2312" w:cs="仿宋"/>
          <w:color w:val="auto"/>
          <w:sz w:val="32"/>
          <w:szCs w:val="32"/>
          <w:highlight w:val="none"/>
          <w:lang w:val="en-US" w:eastAsia="zh-CN"/>
        </w:rPr>
        <w:t>22</w:t>
      </w:r>
      <w:r>
        <w:rPr>
          <w:rFonts w:hint="eastAsia" w:ascii="仿宋_GB2312" w:hAnsi="仿宋" w:eastAsia="仿宋_GB2312" w:cs="仿宋"/>
          <w:color w:val="auto"/>
          <w:sz w:val="32"/>
          <w:szCs w:val="32"/>
          <w:highlight w:val="none"/>
        </w:rPr>
        <w:t>年财政预算草案计划表</w:t>
      </w: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pStyle w:val="2"/>
        <w:rPr>
          <w:rFonts w:hint="eastAsia"/>
        </w:rPr>
      </w:pPr>
    </w:p>
    <w:p>
      <w:pPr>
        <w:keepNext w:val="0"/>
        <w:keepLines w:val="0"/>
        <w:pageBreakBefore w:val="0"/>
        <w:kinsoku/>
        <w:wordWrap/>
        <w:overflowPunct/>
        <w:topLinePunct w:val="0"/>
        <w:autoSpaceDE/>
        <w:autoSpaceDN/>
        <w:bidi w:val="0"/>
        <w:spacing w:line="560" w:lineRule="exact"/>
        <w:rPr>
          <w:rFonts w:ascii="方正小标宋简体" w:hAnsi="方正小标宋简体" w:eastAsia="方正小标宋简体" w:cs="方正小标宋简体"/>
          <w:color w:val="auto"/>
          <w:kern w:val="0"/>
          <w:sz w:val="36"/>
          <w:szCs w:val="36"/>
          <w:highlight w:val="none"/>
        </w:rPr>
      </w:pPr>
      <w:r>
        <w:rPr>
          <w:rFonts w:hint="eastAsia" w:ascii="方正小标宋简体" w:hAnsi="方正小标宋简体" w:eastAsia="方正小标宋简体" w:cs="方正小标宋简体"/>
          <w:color w:val="auto"/>
          <w:kern w:val="0"/>
          <w:sz w:val="36"/>
          <w:szCs w:val="36"/>
          <w:highlight w:val="none"/>
        </w:rPr>
        <w:t xml:space="preserve">附件1           </w:t>
      </w:r>
    </w:p>
    <w:p>
      <w:pPr>
        <w:keepNext w:val="0"/>
        <w:keepLines w:val="0"/>
        <w:pageBreakBefore w:val="0"/>
        <w:kinsoku/>
        <w:wordWrap/>
        <w:overflowPunct/>
        <w:topLinePunct w:val="0"/>
        <w:autoSpaceDE/>
        <w:autoSpaceDN/>
        <w:bidi w:val="0"/>
        <w:spacing w:line="560" w:lineRule="exact"/>
        <w:jc w:val="center"/>
        <w:rPr>
          <w:rFonts w:ascii="方正小标宋简体" w:hAnsi="方正小标宋简体" w:eastAsia="方正小标宋简体" w:cs="方正小标宋简体"/>
          <w:color w:val="auto"/>
          <w:kern w:val="0"/>
          <w:sz w:val="36"/>
          <w:szCs w:val="36"/>
          <w:highlight w:val="none"/>
        </w:rPr>
      </w:pPr>
      <w:r>
        <w:rPr>
          <w:rFonts w:hint="eastAsia" w:ascii="方正小标宋简体" w:hAnsi="方正小标宋简体" w:eastAsia="方正小标宋简体" w:cs="方正小标宋简体"/>
          <w:color w:val="auto"/>
          <w:kern w:val="0"/>
          <w:sz w:val="36"/>
          <w:szCs w:val="36"/>
          <w:highlight w:val="none"/>
        </w:rPr>
        <w:t>名 词 解 释</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全口径预算管理。指将全部政府收支纳入预算，并接受与其性质相适应的管理和监督，使政府预算做到体系完整、结构清晰、权责匹配、公开透明。其基本内容包括：一是所有政府收支应当纳入预算；二是预算体系包括一般公共预算、政府性基金预算、国有资本经营预算和社会保险基金预算。</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2.一般公共预算。指政府凭借国家政治权力，以社会管理者身份筹集以税收为主体的财政收入，用于保障和改善民生、维持国家行政职能正常行使、保障国家安全等方面的收支预算。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3.政府性基金预算。指政府通过向社会征收基金、收费，以及出让土地、发行彩票等方式取得收入，专项用于支持特定基础设施建设和社会事业发展等方面的收支预算。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4.国有资本经营预算。指国家以所有者身份依法取得国有资本经营收益，并对所得收益进行分配而发生的收支预算。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5.社会保险基金预算。指根据国家社会保险和预算管理法律法规建立，反映各项社会保险基金收支的年度计划。</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6.预算绩效管理。预算绩效是指预算资金所达到的产出和结果。预算绩效管理是政府绩效管理的重要组成部分，是一种以支出结果为导向的预算管理模式。它强化政府预算为民服务的理念，强调预算支出的责任和效率，要求在预算编制、执行、监督的全过程中更加关注预算资金的产出和结果。推进预算绩效管理，有利于提升预算管理水平、增强单位支出责任、提高公共服务质量、优化公共资源配置、节约公共支出成本。</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　　7.财政结转结余资金。财政结转资金，是指当年支出预算已执行但尚未完成，或因故未执行，下年需按原用途继续使用的财政拨款资金。财政结余资金，是指支出预算工作目标已完成，或由于受政策变化、计划调整等因素影响工作终止，当年剩余的财政拨款资金。</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8.民生支出。指财政支出中用于保障和改善民生方面的支出。包括教育、科学技术、文化体育与传媒、社会保障和就业、医疗卫生与计划生育、节能环保、城乡社区、农林水、交通运输、商业服务业等、国土海洋气象等、住房保障、粮油物资储备等支出科目的总和，不包括一般公共服务、公共安全、资源勘探信息等、金融监管、其他支出等支出科目。</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　　9.政府采购。指各级机关事业单位和团体组织，使用财政性资金购买依法制定的集中采购目录以内或采购限额标准以上的货物、工程和服务的行为。它不仅是指具体的采购过程，也是一种公共采购管理制度。</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10.财政投资评审。财政投资评审是财政职能的重要组成部分，是强化财政支出预算管理的重要环节。通过运用专业技术评审手段，对使用财政资金的基本建设项目和专项支出的必要性、可行性、合理性及资金来源等方面进行评审论证，对不合规行为实施监督，避免财政资金支出的盲目性和随意性，从而提高财政资金使用效益。</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11.政府和社会资本合作（PPP）。即Public—Private—Partnership的字母缩写，是指政府和社会资本在基础设施建设及公共服务领域建立的一种长期合作关系。通常模式是由社会资本承担设计、建设、运营、维护基础设施的大部分工作，并通过“使用者付费”及必要的“政府付费”获得合理回报；政府部门负责基础设施及公共服务价格和质量监管，以保证公共利益最大化。</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12.政府购买服务。指通过发挥市场机制作用，把政府直接提供的一部分公共服务事项以及政府履职所需服务事项，按照一定的方式和程序，交由具备条件的社会力量和事业单位承担，并由政府根据合同约定向其支付费用。</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13.转移支付。以各级政府之间所存在的财政能力差异为基础，以实现各地公共服务水平的均等化为主旨，而实行的一种财政资金转移或财政平衡制度。</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14.一般性转移支付。指上级政府给予地方政府的财力补助，用于均衡地区间财力差距，包括纯财力补助和中央地方基本公共服务领域共同财政事权转移支付，地方政府可以按照相关规定统筹安排和使用。</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15.专项转移支付。指上级政府为实现特定的经济和社会发展目标无偿给予地方政府，由接受转移支付的政府按照上级政府规定的用途安排使用的预算资金。</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16.政府债务。指按预算法规定通过省政府代为发行的地方政府债券，以及2014年底清理甄别锁定的存量政府债务。政府债务分为一般债务和专项债务。一般债务指政府为没有收益的公益性事业发展举借的债务；专项债务指政府为有一定收益的公益性事业发展举借的债务。</w:t>
      </w:r>
      <w:r>
        <w:rPr>
          <w:rFonts w:hint="eastAsia" w:ascii="仿宋_GB2312" w:hAnsi="仿宋" w:eastAsia="仿宋_GB2312" w:cs="仿宋"/>
          <w:color w:val="auto"/>
          <w:kern w:val="0"/>
          <w:sz w:val="32"/>
          <w:szCs w:val="32"/>
          <w:highlight w:val="none"/>
        </w:rPr>
        <w:tab/>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17.</w:t>
      </w:r>
      <w:r>
        <w:rPr>
          <w:rFonts w:hint="eastAsia" w:ascii="仿宋_GB2312" w:hAnsi="仿宋" w:eastAsia="仿宋_GB2312" w:cs="仿宋"/>
          <w:color w:val="auto"/>
          <w:kern w:val="0"/>
          <w:sz w:val="32"/>
          <w:szCs w:val="32"/>
          <w:highlight w:val="none"/>
          <w:lang w:val="en-US" w:eastAsia="zh-CN"/>
        </w:rPr>
        <w:t>预算管理一体化。</w:t>
      </w:r>
      <w:r>
        <w:rPr>
          <w:rFonts w:hint="eastAsia" w:ascii="仿宋_GB2312" w:hAnsi="仿宋" w:eastAsia="仿宋_GB2312" w:cs="仿宋"/>
          <w:color w:val="auto"/>
          <w:kern w:val="0"/>
          <w:sz w:val="32"/>
          <w:szCs w:val="32"/>
          <w:highlight w:val="none"/>
        </w:rPr>
        <w:t>以统一预算管理规则为核心，以预算管理一体化系统为主要载体，将统一的管理规则嵌入信息系统，提高项目储备、预算编审、预算调整和调剂、资金支付、会计核算、决算和报告等工作的标准化、自动化水平，实现对预算管理全流程的动态反映和有效控制，保证各级预算管理规范高效。</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18.一般性支出。根据《财政部关于进一步做好2017年一般性支出压减工作的通知》（财预〔2017〕137号）精神，一般性支出压减涉及的科目包括：302“商品和服务支出”（不含30204“手续费”、30218“专用材料费”、30225“专用燃料费”、30228“工会经费”、30229“福利费”、30240“税金及附加费用”和30299“其他商品和服务支出”）；31001“房屋建筑物购置”、31002“办公设备购置”、31013“公务用车购置”、31019“其他交通工具购置”。</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lang w:val="en-US" w:eastAsia="zh-CN"/>
        </w:rPr>
        <w:t>19.</w:t>
      </w:r>
      <w:r>
        <w:rPr>
          <w:rFonts w:hint="eastAsia" w:ascii="仿宋_GB2312" w:hAnsi="仿宋" w:eastAsia="仿宋_GB2312" w:cs="仿宋"/>
          <w:color w:val="auto"/>
          <w:kern w:val="0"/>
          <w:sz w:val="32"/>
          <w:szCs w:val="32"/>
          <w:highlight w:val="none"/>
        </w:rPr>
        <w:t>六稳：稳就业、稳金融、稳外贸、稳外资、稳投资、稳预期工作。</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lang w:val="en-US" w:eastAsia="zh-CN"/>
        </w:rPr>
        <w:t>20</w:t>
      </w:r>
      <w:r>
        <w:rPr>
          <w:rFonts w:hint="eastAsia" w:ascii="仿宋_GB2312" w:hAnsi="仿宋" w:eastAsia="仿宋_GB2312" w:cs="仿宋"/>
          <w:color w:val="auto"/>
          <w:kern w:val="0"/>
          <w:sz w:val="32"/>
          <w:szCs w:val="32"/>
          <w:highlight w:val="none"/>
        </w:rPr>
        <w:t>.六保：保居民就业、保基本民生、保市场主体、保粮食能源安全、保产业链供应链稳定、保基层运转。</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lang w:val="en-US" w:eastAsia="zh-CN"/>
        </w:rPr>
      </w:pPr>
    </w:p>
    <w:p>
      <w:pPr>
        <w:pStyle w:val="5"/>
        <w:rPr>
          <w:rFonts w:hint="eastAsia"/>
          <w:color w:val="auto"/>
          <w:highlight w:val="none"/>
        </w:rPr>
      </w:pPr>
    </w:p>
    <w:p>
      <w:pPr>
        <w:pStyle w:val="5"/>
        <w:rPr>
          <w:rFonts w:hint="eastAsia" w:ascii="仿宋" w:hAnsi="仿宋" w:eastAsia="仿宋" w:cs="仿宋"/>
          <w:color w:val="auto"/>
          <w:sz w:val="32"/>
          <w:szCs w:val="32"/>
          <w:highlight w:val="none"/>
          <w:shd w:val="clear" w:color="auto" w:fill="FFFFFF"/>
        </w:rPr>
      </w:pP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ascii="黑体" w:eastAsia="黑体"/>
          <w:color w:val="auto"/>
          <w:sz w:val="36"/>
          <w:szCs w:val="36"/>
          <w:highlight w:val="none"/>
        </w:rPr>
      </w:pPr>
      <w:r>
        <w:rPr>
          <w:rFonts w:hint="eastAsia" w:ascii="黑体" w:eastAsia="黑体"/>
          <w:color w:val="auto"/>
          <w:sz w:val="36"/>
          <w:szCs w:val="36"/>
          <w:highlight w:val="none"/>
        </w:rPr>
        <w:t>附件</w:t>
      </w:r>
      <w:r>
        <w:rPr>
          <w:rFonts w:hint="eastAsia" w:ascii="黑体" w:eastAsia="黑体"/>
          <w:color w:val="auto"/>
          <w:sz w:val="36"/>
          <w:szCs w:val="36"/>
          <w:highlight w:val="none"/>
          <w:lang w:val="en-US" w:eastAsia="zh-CN"/>
        </w:rPr>
        <w:t>2-01</w:t>
      </w:r>
      <w:r>
        <w:rPr>
          <w:rFonts w:hint="eastAsia" w:ascii="黑体" w:eastAsia="黑体"/>
          <w:color w:val="auto"/>
          <w:sz w:val="36"/>
          <w:szCs w:val="36"/>
          <w:highlight w:val="none"/>
        </w:rPr>
        <w:t xml:space="preserve">      </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eastAsia="方正小标宋简体"/>
          <w:color w:val="auto"/>
          <w:w w:val="95"/>
          <w:sz w:val="44"/>
          <w:szCs w:val="44"/>
          <w:highlight w:val="none"/>
        </w:rPr>
      </w:pPr>
      <w:r>
        <w:rPr>
          <w:rFonts w:hint="eastAsia" w:ascii="方正小标宋简体" w:eastAsia="方正小标宋简体"/>
          <w:color w:val="auto"/>
          <w:w w:val="95"/>
          <w:sz w:val="44"/>
          <w:szCs w:val="44"/>
          <w:highlight w:val="none"/>
        </w:rPr>
        <w:t>秭归县</w:t>
      </w:r>
      <w:r>
        <w:rPr>
          <w:rFonts w:ascii="方正小标宋简体" w:eastAsia="方正小标宋简体"/>
          <w:color w:val="auto"/>
          <w:w w:val="95"/>
          <w:sz w:val="44"/>
          <w:szCs w:val="44"/>
          <w:highlight w:val="none"/>
        </w:rPr>
        <w:t>202</w:t>
      </w:r>
      <w:r>
        <w:rPr>
          <w:rFonts w:hint="eastAsia" w:ascii="方正小标宋简体" w:eastAsia="方正小标宋简体"/>
          <w:color w:val="auto"/>
          <w:w w:val="95"/>
          <w:sz w:val="44"/>
          <w:szCs w:val="44"/>
          <w:highlight w:val="none"/>
          <w:lang w:val="en-US" w:eastAsia="zh-CN"/>
        </w:rPr>
        <w:t>1</w:t>
      </w:r>
      <w:r>
        <w:rPr>
          <w:rFonts w:hint="eastAsia" w:ascii="方正小标宋简体" w:eastAsia="方正小标宋简体"/>
          <w:color w:val="auto"/>
          <w:w w:val="95"/>
          <w:sz w:val="44"/>
          <w:szCs w:val="44"/>
          <w:highlight w:val="none"/>
        </w:rPr>
        <w:t>年一般公共预算</w:t>
      </w:r>
      <w:r>
        <w:rPr>
          <w:rFonts w:hint="eastAsia" w:ascii="方正小标宋简体" w:eastAsia="方正小标宋简体"/>
          <w:color w:val="auto"/>
          <w:w w:val="95"/>
          <w:sz w:val="44"/>
          <w:szCs w:val="44"/>
          <w:highlight w:val="none"/>
          <w:lang w:eastAsia="zh-CN"/>
        </w:rPr>
        <w:t>执行情况</w:t>
      </w:r>
      <w:r>
        <w:rPr>
          <w:rFonts w:hint="eastAsia" w:ascii="方正小标宋简体" w:eastAsia="方正小标宋简体"/>
          <w:color w:val="auto"/>
          <w:w w:val="95"/>
          <w:sz w:val="44"/>
          <w:szCs w:val="44"/>
          <w:highlight w:val="none"/>
        </w:rPr>
        <w:t>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color w:val="auto"/>
          <w:sz w:val="22"/>
          <w:szCs w:val="22"/>
          <w:highlight w:val="none"/>
          <w:lang w:eastAsia="zh-CN"/>
        </w:rPr>
      </w:pPr>
      <w:r>
        <w:rPr>
          <w:rFonts w:hint="eastAsia" w:ascii="宋体" w:hAnsi="宋体"/>
          <w:color w:val="auto"/>
          <w:sz w:val="22"/>
          <w:szCs w:val="22"/>
          <w:highlight w:val="none"/>
          <w:lang w:eastAsia="zh-CN"/>
        </w:rPr>
        <w:t>单位：万元</w:t>
      </w:r>
    </w:p>
    <w:tbl>
      <w:tblPr>
        <w:tblStyle w:val="11"/>
        <w:tblW w:w="10033" w:type="dxa"/>
        <w:jc w:val="center"/>
        <w:tblLayout w:type="fixed"/>
        <w:tblCellMar>
          <w:top w:w="0" w:type="dxa"/>
          <w:left w:w="108" w:type="dxa"/>
          <w:bottom w:w="0" w:type="dxa"/>
          <w:right w:w="108" w:type="dxa"/>
        </w:tblCellMar>
      </w:tblPr>
      <w:tblGrid>
        <w:gridCol w:w="2354"/>
        <w:gridCol w:w="865"/>
        <w:gridCol w:w="883"/>
        <w:gridCol w:w="984"/>
        <w:gridCol w:w="2340"/>
        <w:gridCol w:w="855"/>
        <w:gridCol w:w="780"/>
        <w:gridCol w:w="972"/>
      </w:tblGrid>
      <w:tr>
        <w:tblPrEx>
          <w:tblCellMar>
            <w:top w:w="0" w:type="dxa"/>
            <w:left w:w="108" w:type="dxa"/>
            <w:bottom w:w="0" w:type="dxa"/>
            <w:right w:w="108" w:type="dxa"/>
          </w:tblCellMar>
        </w:tblPrEx>
        <w:trPr>
          <w:trHeight w:val="351" w:hRule="atLeast"/>
          <w:jc w:val="center"/>
        </w:trPr>
        <w:tc>
          <w:tcPr>
            <w:tcW w:w="5086"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收    入</w:t>
            </w:r>
          </w:p>
        </w:tc>
        <w:tc>
          <w:tcPr>
            <w:tcW w:w="4947" w:type="dxa"/>
            <w:gridSpan w:val="4"/>
            <w:tcBorders>
              <w:top w:val="single" w:color="auto" w:sz="4" w:space="0"/>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支      出</w:t>
            </w:r>
          </w:p>
        </w:tc>
      </w:tr>
      <w:tr>
        <w:tblPrEx>
          <w:tblCellMar>
            <w:top w:w="0" w:type="dxa"/>
            <w:left w:w="108" w:type="dxa"/>
            <w:bottom w:w="0" w:type="dxa"/>
            <w:right w:w="108" w:type="dxa"/>
          </w:tblCellMar>
        </w:tblPrEx>
        <w:trPr>
          <w:trHeight w:val="714" w:hRule="atLeast"/>
          <w:jc w:val="center"/>
        </w:trPr>
        <w:tc>
          <w:tcPr>
            <w:tcW w:w="2354" w:type="dxa"/>
            <w:tcBorders>
              <w:top w:val="nil"/>
              <w:left w:val="single" w:color="auto" w:sz="4" w:space="0"/>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65"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预算调整数</w:t>
            </w:r>
          </w:p>
        </w:tc>
        <w:tc>
          <w:tcPr>
            <w:tcW w:w="883"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预算执行数</w:t>
            </w:r>
          </w:p>
        </w:tc>
        <w:tc>
          <w:tcPr>
            <w:tcW w:w="984"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340"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55"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预算调整数</w:t>
            </w:r>
          </w:p>
        </w:tc>
        <w:tc>
          <w:tcPr>
            <w:tcW w:w="780"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预算执行数</w:t>
            </w:r>
          </w:p>
        </w:tc>
        <w:tc>
          <w:tcPr>
            <w:tcW w:w="972"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430"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一、地方一般公共预算收入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58000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59028</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101.7%</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一、地方一般公共预算支出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332114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313004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94.2%</w:t>
            </w:r>
          </w:p>
        </w:tc>
      </w:tr>
      <w:tr>
        <w:tblPrEx>
          <w:tblCellMar>
            <w:top w:w="0" w:type="dxa"/>
            <w:left w:w="108" w:type="dxa"/>
            <w:bottom w:w="0" w:type="dxa"/>
            <w:right w:w="108" w:type="dxa"/>
          </w:tblCellMar>
        </w:tblPrEx>
        <w:trPr>
          <w:trHeight w:val="39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（一）税收收入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43800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44180</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100.8%</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201.一般公共服务支出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43793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36523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83.4%</w:t>
            </w:r>
          </w:p>
        </w:tc>
      </w:tr>
      <w:tr>
        <w:tblPrEx>
          <w:tblCellMar>
            <w:top w:w="0" w:type="dxa"/>
            <w:left w:w="108" w:type="dxa"/>
            <w:bottom w:w="0" w:type="dxa"/>
            <w:right w:w="108" w:type="dxa"/>
          </w:tblCellMar>
        </w:tblPrEx>
        <w:trPr>
          <w:trHeight w:val="39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（二）非税收入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14200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14848</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104.5%</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203.国防支出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53.7%</w:t>
            </w:r>
          </w:p>
        </w:tc>
      </w:tr>
      <w:tr>
        <w:tblPrEx>
          <w:tblCellMar>
            <w:top w:w="0" w:type="dxa"/>
            <w:left w:w="108" w:type="dxa"/>
            <w:bottom w:w="0" w:type="dxa"/>
            <w:right w:w="108" w:type="dxa"/>
          </w:tblCellMar>
        </w:tblPrEx>
        <w:trPr>
          <w:trHeight w:val="34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二、上级补助收入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221893</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237915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107.2%</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204.公共安全支出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11854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10365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87.4%</w:t>
            </w:r>
          </w:p>
        </w:tc>
      </w:tr>
      <w:tr>
        <w:tblPrEx>
          <w:tblCellMar>
            <w:top w:w="0" w:type="dxa"/>
            <w:left w:w="108" w:type="dxa"/>
            <w:bottom w:w="0" w:type="dxa"/>
            <w:right w:w="108" w:type="dxa"/>
          </w:tblCellMar>
        </w:tblPrEx>
        <w:trPr>
          <w:trHeight w:val="33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（一）返还性收入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15471</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15471</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205.教育支出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52213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57502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110.1%</w:t>
            </w:r>
          </w:p>
        </w:tc>
      </w:tr>
      <w:tr>
        <w:tblPrEx>
          <w:tblCellMar>
            <w:top w:w="0" w:type="dxa"/>
            <w:left w:w="108" w:type="dxa"/>
            <w:bottom w:w="0" w:type="dxa"/>
            <w:right w:w="108" w:type="dxa"/>
          </w:tblCellMar>
        </w:tblPrEx>
        <w:trPr>
          <w:trHeight w:val="328"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（二）一般转移支付收入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184883</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197879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107%</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206.科学技术支出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4105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4306</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104.9%</w:t>
            </w:r>
          </w:p>
        </w:tc>
      </w:tr>
      <w:tr>
        <w:tblPrEx>
          <w:tblCellMar>
            <w:top w:w="0" w:type="dxa"/>
            <w:left w:w="108" w:type="dxa"/>
            <w:bottom w:w="0" w:type="dxa"/>
            <w:right w:w="108" w:type="dxa"/>
          </w:tblCellMar>
        </w:tblPrEx>
        <w:trPr>
          <w:trHeight w:val="50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（三）专项转移支付收入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21539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24565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114%</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207.文化旅游体育与传媒支出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5866</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6429</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109.6%</w:t>
            </w:r>
          </w:p>
        </w:tc>
      </w:tr>
      <w:tr>
        <w:tblPrEx>
          <w:tblCellMar>
            <w:top w:w="0" w:type="dxa"/>
            <w:left w:w="108" w:type="dxa"/>
            <w:bottom w:w="0" w:type="dxa"/>
            <w:right w:w="108" w:type="dxa"/>
          </w:tblCellMar>
        </w:tblPrEx>
        <w:trPr>
          <w:trHeight w:val="36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三、上年结转结余</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17329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17329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208.社会保障和就业支出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42723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45557</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106.6%</w:t>
            </w:r>
          </w:p>
        </w:tc>
      </w:tr>
      <w:tr>
        <w:tblPrEx>
          <w:tblCellMar>
            <w:top w:w="0" w:type="dxa"/>
            <w:left w:w="108" w:type="dxa"/>
            <w:bottom w:w="0" w:type="dxa"/>
            <w:right w:w="108" w:type="dxa"/>
          </w:tblCellMar>
        </w:tblPrEx>
        <w:trPr>
          <w:trHeight w:val="28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四、调入资金</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24731</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29907</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120.9%</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210.卫生健康支出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49532</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41618</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84%</w:t>
            </w:r>
          </w:p>
        </w:tc>
      </w:tr>
      <w:tr>
        <w:tblPrEx>
          <w:tblCellMar>
            <w:top w:w="0" w:type="dxa"/>
            <w:left w:w="108" w:type="dxa"/>
            <w:bottom w:w="0" w:type="dxa"/>
            <w:right w:w="108" w:type="dxa"/>
          </w:tblCellMar>
        </w:tblPrEx>
        <w:trPr>
          <w:trHeight w:val="33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五、动用预算稳定调节基金</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9377</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9377</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211.节能环保支出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8690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8544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98.3%</w:t>
            </w:r>
          </w:p>
        </w:tc>
      </w:tr>
      <w:tr>
        <w:tblPrEx>
          <w:tblCellMar>
            <w:top w:w="0" w:type="dxa"/>
            <w:left w:w="108" w:type="dxa"/>
            <w:bottom w:w="0" w:type="dxa"/>
            <w:right w:w="108" w:type="dxa"/>
          </w:tblCellMar>
        </w:tblPrEx>
        <w:trPr>
          <w:trHeight w:val="38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六、债券转贷收入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23229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23229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212.城乡社区支出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8625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7588</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87.9%</w:t>
            </w:r>
          </w:p>
        </w:tc>
      </w:tr>
      <w:tr>
        <w:tblPrEx>
          <w:tblCellMar>
            <w:top w:w="0" w:type="dxa"/>
            <w:left w:w="108" w:type="dxa"/>
            <w:bottom w:w="0" w:type="dxa"/>
            <w:right w:w="108" w:type="dxa"/>
          </w:tblCellMar>
        </w:tblPrEx>
        <w:trPr>
          <w:trHeight w:val="353"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213.农林水支出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63709</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60632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95.1%</w:t>
            </w:r>
          </w:p>
        </w:tc>
      </w:tr>
      <w:tr>
        <w:tblPrEx>
          <w:tblCellMar>
            <w:top w:w="0" w:type="dxa"/>
            <w:left w:w="108" w:type="dxa"/>
            <w:bottom w:w="0" w:type="dxa"/>
            <w:right w:w="108" w:type="dxa"/>
          </w:tblCellMar>
        </w:tblPrEx>
        <w:trPr>
          <w:trHeight w:val="31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214.交通运输支出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17424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13693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78.5%</w:t>
            </w:r>
          </w:p>
        </w:tc>
      </w:tr>
      <w:tr>
        <w:tblPrEx>
          <w:tblCellMar>
            <w:top w:w="0" w:type="dxa"/>
            <w:left w:w="108" w:type="dxa"/>
            <w:bottom w:w="0" w:type="dxa"/>
            <w:right w:w="108" w:type="dxa"/>
          </w:tblCellMar>
        </w:tblPrEx>
        <w:trPr>
          <w:trHeight w:val="50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215.资源勘探工业信息等支出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1716</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1715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99.9%</w:t>
            </w:r>
          </w:p>
        </w:tc>
      </w:tr>
      <w:tr>
        <w:tblPrEx>
          <w:tblCellMar>
            <w:top w:w="0" w:type="dxa"/>
            <w:left w:w="108" w:type="dxa"/>
            <w:bottom w:w="0" w:type="dxa"/>
            <w:right w:w="108" w:type="dxa"/>
          </w:tblCellMar>
        </w:tblPrEx>
        <w:trPr>
          <w:trHeight w:val="30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216.商业服务业等支出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765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636</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83.1%</w:t>
            </w:r>
          </w:p>
        </w:tc>
      </w:tr>
      <w:tr>
        <w:tblPrEx>
          <w:tblCellMar>
            <w:top w:w="0" w:type="dxa"/>
            <w:left w:w="108" w:type="dxa"/>
            <w:bottom w:w="0" w:type="dxa"/>
            <w:right w:w="108" w:type="dxa"/>
          </w:tblCellMar>
        </w:tblPrEx>
        <w:trPr>
          <w:trHeight w:val="29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220.自然资源海洋气象等</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4211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3417</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81.1%</w:t>
            </w:r>
          </w:p>
        </w:tc>
      </w:tr>
      <w:tr>
        <w:tblPrEx>
          <w:tblCellMar>
            <w:top w:w="0" w:type="dxa"/>
            <w:left w:w="108" w:type="dxa"/>
            <w:bottom w:w="0" w:type="dxa"/>
            <w:right w:w="108" w:type="dxa"/>
          </w:tblCellMar>
        </w:tblPrEx>
        <w:trPr>
          <w:trHeight w:val="25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221.住房保障支出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6024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5792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96.1%</w:t>
            </w:r>
          </w:p>
        </w:tc>
      </w:tr>
      <w:tr>
        <w:tblPrEx>
          <w:tblCellMar>
            <w:top w:w="0" w:type="dxa"/>
            <w:left w:w="108" w:type="dxa"/>
            <w:bottom w:w="0" w:type="dxa"/>
            <w:right w:w="108" w:type="dxa"/>
          </w:tblCellMar>
        </w:tblPrEx>
        <w:trPr>
          <w:trHeight w:val="36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222.粮油物资储备支出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519</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89%</w:t>
            </w:r>
          </w:p>
        </w:tc>
      </w:tr>
      <w:tr>
        <w:tblPrEx>
          <w:tblCellMar>
            <w:top w:w="0" w:type="dxa"/>
            <w:left w:w="108" w:type="dxa"/>
            <w:bottom w:w="0" w:type="dxa"/>
            <w:right w:w="108" w:type="dxa"/>
          </w:tblCellMar>
        </w:tblPrEx>
        <w:trPr>
          <w:trHeight w:val="35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224.灾害防治及应急管理</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3180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1824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57.3%</w:t>
            </w:r>
          </w:p>
        </w:tc>
      </w:tr>
      <w:tr>
        <w:tblPrEx>
          <w:tblCellMar>
            <w:top w:w="0" w:type="dxa"/>
            <w:left w:w="108" w:type="dxa"/>
            <w:bottom w:w="0" w:type="dxa"/>
            <w:right w:w="108" w:type="dxa"/>
          </w:tblCellMar>
        </w:tblPrEx>
        <w:trPr>
          <w:trHeight w:val="28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227.预备费</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3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229.其他支出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20"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232.债务付息支出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7000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6280</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89.7%</w:t>
            </w:r>
          </w:p>
        </w:tc>
      </w:tr>
      <w:tr>
        <w:tblPrEx>
          <w:tblCellMar>
            <w:top w:w="0" w:type="dxa"/>
            <w:left w:w="108" w:type="dxa"/>
            <w:bottom w:w="0" w:type="dxa"/>
            <w:right w:w="108" w:type="dxa"/>
          </w:tblCellMar>
        </w:tblPrEx>
        <w:trPr>
          <w:trHeight w:val="34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233、债务发行费</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r>
      <w:tr>
        <w:tblPrEx>
          <w:tblCellMar>
            <w:top w:w="0" w:type="dxa"/>
            <w:left w:w="108" w:type="dxa"/>
            <w:bottom w:w="0" w:type="dxa"/>
            <w:right w:w="108" w:type="dxa"/>
          </w:tblCellMar>
        </w:tblPrEx>
        <w:trPr>
          <w:trHeight w:val="36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w:t>
            </w:r>
            <w:r>
              <w:rPr>
                <w:rFonts w:hint="eastAsia" w:ascii="宋体" w:hAnsi="宋体" w:cs="宋体"/>
                <w:color w:val="auto"/>
                <w:kern w:val="0"/>
                <w:sz w:val="18"/>
                <w:szCs w:val="18"/>
                <w:highlight w:val="none"/>
                <w:lang w:eastAsia="zh-CN"/>
              </w:rPr>
              <w:t>安排</w:t>
            </w:r>
            <w:r>
              <w:rPr>
                <w:rFonts w:hint="eastAsia" w:ascii="宋体" w:hAnsi="宋体" w:cs="宋体"/>
                <w:color w:val="auto"/>
                <w:kern w:val="0"/>
                <w:sz w:val="18"/>
                <w:szCs w:val="18"/>
                <w:highlight w:val="none"/>
              </w:rPr>
              <w:t>预算稳定调节基金</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4632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6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三、债务还本支出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11481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11481</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r>
      <w:tr>
        <w:tblPrEx>
          <w:tblCellMar>
            <w:top w:w="0" w:type="dxa"/>
            <w:left w:w="108" w:type="dxa"/>
            <w:bottom w:w="0" w:type="dxa"/>
            <w:right w:w="108" w:type="dxa"/>
          </w:tblCellMar>
        </w:tblPrEx>
        <w:trPr>
          <w:trHeight w:val="299"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四、上解支出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10964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15285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w:t>
            </w:r>
            <w:r>
              <w:rPr>
                <w:rFonts w:hint="eastAsia" w:ascii="宋体" w:hAnsi="宋体" w:cs="宋体"/>
                <w:color w:val="auto"/>
                <w:kern w:val="0"/>
                <w:sz w:val="18"/>
                <w:szCs w:val="18"/>
                <w:highlight w:val="none"/>
                <w:lang w:val="en-US" w:eastAsia="zh-CN"/>
              </w:rPr>
              <w:t>39.4</w:t>
            </w:r>
            <w:r>
              <w:rPr>
                <w:rFonts w:hint="eastAsia" w:ascii="宋体" w:hAnsi="宋体" w:cs="宋体"/>
                <w:color w:val="auto"/>
                <w:kern w:val="0"/>
                <w:sz w:val="18"/>
                <w:szCs w:val="18"/>
                <w:highlight w:val="none"/>
              </w:rPr>
              <w:t>%</w:t>
            </w:r>
          </w:p>
        </w:tc>
      </w:tr>
      <w:tr>
        <w:tblPrEx>
          <w:tblCellMar>
            <w:top w:w="0" w:type="dxa"/>
            <w:left w:w="108" w:type="dxa"/>
            <w:bottom w:w="0" w:type="dxa"/>
            <w:right w:w="108" w:type="dxa"/>
          </w:tblCellMar>
        </w:tblPrEx>
        <w:trPr>
          <w:trHeight w:val="38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收入合计</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354559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376785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w:t>
            </w:r>
            <w:r>
              <w:rPr>
                <w:rFonts w:hint="eastAsia" w:ascii="宋体" w:hAnsi="宋体" w:cs="宋体"/>
                <w:color w:val="auto"/>
                <w:kern w:val="0"/>
                <w:sz w:val="18"/>
                <w:szCs w:val="18"/>
                <w:highlight w:val="none"/>
                <w:lang w:val="en-US" w:eastAsia="zh-CN"/>
              </w:rPr>
              <w:t>06.2</w:t>
            </w:r>
            <w:r>
              <w:rPr>
                <w:rFonts w:hint="eastAsia" w:ascii="宋体" w:hAnsi="宋体" w:cs="宋体"/>
                <w:color w:val="auto"/>
                <w:kern w:val="0"/>
                <w:sz w:val="18"/>
                <w:szCs w:val="18"/>
                <w:highlight w:val="none"/>
              </w:rPr>
              <w:t>%</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支出合计</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354559</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344402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97.1</w:t>
            </w:r>
            <w:r>
              <w:rPr>
                <w:rFonts w:hint="eastAsia" w:ascii="宋体" w:hAnsi="宋体" w:cs="宋体"/>
                <w:color w:val="auto"/>
                <w:kern w:val="0"/>
                <w:sz w:val="18"/>
                <w:szCs w:val="18"/>
                <w:highlight w:val="none"/>
              </w:rPr>
              <w:t>%</w:t>
            </w:r>
          </w:p>
        </w:tc>
      </w:tr>
      <w:tr>
        <w:tblPrEx>
          <w:tblCellMar>
            <w:top w:w="0" w:type="dxa"/>
            <w:left w:w="108" w:type="dxa"/>
            <w:bottom w:w="0" w:type="dxa"/>
            <w:right w:w="108" w:type="dxa"/>
          </w:tblCellMar>
        </w:tblPrEx>
        <w:trPr>
          <w:trHeight w:val="36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结转下年</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32383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附件2</w:t>
      </w:r>
      <w:r>
        <w:rPr>
          <w:rFonts w:hint="eastAsia" w:ascii="黑体" w:hAnsi="黑体" w:eastAsia="黑体" w:cs="宋体"/>
          <w:color w:val="auto"/>
          <w:kern w:val="0"/>
          <w:sz w:val="32"/>
          <w:szCs w:val="32"/>
          <w:highlight w:val="none"/>
          <w:lang w:val="en-US" w:eastAsia="zh-CN"/>
        </w:rPr>
        <w:t>-02</w:t>
      </w:r>
      <w:r>
        <w:rPr>
          <w:rFonts w:hint="eastAsia" w:ascii="黑体" w:hAnsi="黑体" w:eastAsia="黑体" w:cs="宋体"/>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cs="宋体"/>
          <w:color w:val="auto"/>
          <w:sz w:val="44"/>
          <w:szCs w:val="44"/>
          <w:highlight w:val="none"/>
        </w:rPr>
      </w:pPr>
      <w:r>
        <w:rPr>
          <w:rFonts w:hint="eastAsia" w:ascii="方正小标宋简体" w:eastAsia="方正小标宋简体"/>
          <w:color w:val="auto"/>
          <w:sz w:val="44"/>
          <w:szCs w:val="44"/>
          <w:highlight w:val="none"/>
        </w:rPr>
        <w:t>2021年政府性基金预算</w:t>
      </w:r>
      <w:r>
        <w:rPr>
          <w:rFonts w:hint="eastAsia" w:ascii="方正小标宋简体" w:eastAsia="方正小标宋简体"/>
          <w:color w:val="auto"/>
          <w:sz w:val="44"/>
          <w:szCs w:val="44"/>
          <w:highlight w:val="none"/>
          <w:lang w:eastAsia="zh-CN"/>
        </w:rPr>
        <w:t>执行情况</w:t>
      </w:r>
      <w:r>
        <w:rPr>
          <w:rFonts w:hint="eastAsia" w:ascii="方正小标宋简体" w:eastAsia="方正小标宋简体"/>
          <w:color w:val="auto"/>
          <w:sz w:val="44"/>
          <w:szCs w:val="44"/>
          <w:highlight w:val="none"/>
        </w:rPr>
        <w:t>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宋体" w:hAnsi="宋体" w:cs="宋体"/>
          <w:color w:val="auto"/>
          <w:sz w:val="22"/>
          <w:szCs w:val="22"/>
          <w:highlight w:val="none"/>
        </w:rPr>
      </w:pPr>
      <w:r>
        <w:rPr>
          <w:rFonts w:hint="eastAsia" w:ascii="仿宋_GB2312" w:hAnsi="宋体" w:eastAsia="仿宋_GB2312" w:cs="宋体"/>
          <w:color w:val="auto"/>
          <w:kern w:val="0"/>
          <w:sz w:val="32"/>
          <w:szCs w:val="32"/>
          <w:highlight w:val="none"/>
        </w:rPr>
        <w:t xml:space="preserve">  </w:t>
      </w:r>
      <w:r>
        <w:rPr>
          <w:rFonts w:hint="eastAsia" w:ascii="宋体" w:hAnsi="宋体" w:cs="宋体"/>
          <w:color w:val="auto"/>
          <w:kern w:val="0"/>
          <w:szCs w:val="21"/>
          <w:highlight w:val="none"/>
        </w:rPr>
        <w:t xml:space="preserve">                                          </w:t>
      </w:r>
      <w:r>
        <w:rPr>
          <w:rFonts w:hint="eastAsia" w:ascii="宋体" w:hAnsi="宋体" w:cs="宋体"/>
          <w:color w:val="auto"/>
          <w:kern w:val="0"/>
          <w:sz w:val="22"/>
          <w:szCs w:val="22"/>
          <w:highlight w:val="none"/>
        </w:rPr>
        <w:t xml:space="preserve">  </w:t>
      </w:r>
      <w:r>
        <w:rPr>
          <w:rFonts w:hint="eastAsia" w:ascii="宋体" w:hAnsi="宋体"/>
          <w:color w:val="auto"/>
          <w:sz w:val="22"/>
          <w:szCs w:val="22"/>
          <w:highlight w:val="none"/>
        </w:rPr>
        <w:t>单位：万元</w:t>
      </w:r>
    </w:p>
    <w:tbl>
      <w:tblPr>
        <w:tblStyle w:val="11"/>
        <w:tblW w:w="0" w:type="auto"/>
        <w:jc w:val="center"/>
        <w:tblLayout w:type="fixed"/>
        <w:tblCellMar>
          <w:top w:w="0" w:type="dxa"/>
          <w:left w:w="108" w:type="dxa"/>
          <w:bottom w:w="0" w:type="dxa"/>
          <w:right w:w="108" w:type="dxa"/>
        </w:tblCellMar>
      </w:tblPr>
      <w:tblGrid>
        <w:gridCol w:w="2303"/>
        <w:gridCol w:w="849"/>
        <w:gridCol w:w="850"/>
        <w:gridCol w:w="851"/>
        <w:gridCol w:w="2262"/>
        <w:gridCol w:w="793"/>
        <w:gridCol w:w="764"/>
        <w:gridCol w:w="1071"/>
      </w:tblGrid>
      <w:tr>
        <w:trPr>
          <w:trHeight w:val="437" w:hRule="atLeast"/>
          <w:jc w:val="center"/>
        </w:trPr>
        <w:tc>
          <w:tcPr>
            <w:tcW w:w="4853"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     入</w:t>
            </w:r>
          </w:p>
        </w:tc>
        <w:tc>
          <w:tcPr>
            <w:tcW w:w="4890"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875" w:hRule="atLeast"/>
          <w:jc w:val="center"/>
        </w:trPr>
        <w:tc>
          <w:tcPr>
            <w:tcW w:w="2303"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49"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50"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851"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262" w:type="dxa"/>
            <w:tcBorders>
              <w:top w:val="nil"/>
              <w:left w:val="nil"/>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793"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764"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87"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一、本级收入</w:t>
            </w:r>
          </w:p>
        </w:tc>
        <w:tc>
          <w:tcPr>
            <w:tcW w:w="84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75671</w:t>
            </w:r>
          </w:p>
        </w:tc>
        <w:tc>
          <w:tcPr>
            <w:tcW w:w="850" w:type="dxa"/>
            <w:tcBorders>
              <w:top w:val="single" w:color="auto" w:sz="4" w:space="0"/>
              <w:left w:val="nil"/>
              <w:bottom w:val="single" w:color="auto" w:sz="4" w:space="0"/>
              <w:right w:val="single" w:color="auto" w:sz="4" w:space="0"/>
            </w:tcBorders>
            <w:noWrap/>
            <w:vAlign w:val="center"/>
          </w:tcPr>
          <w:p>
            <w:pPr>
              <w:spacing w:line="26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75710</w:t>
            </w:r>
          </w:p>
        </w:tc>
        <w:tc>
          <w:tcPr>
            <w:tcW w:w="851"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一、政府性基金支出</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190827</w:t>
            </w:r>
          </w:p>
        </w:tc>
        <w:tc>
          <w:tcPr>
            <w:tcW w:w="764"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181707</w:t>
            </w:r>
          </w:p>
        </w:tc>
        <w:tc>
          <w:tcPr>
            <w:tcW w:w="1071"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95.2%</w:t>
            </w:r>
          </w:p>
        </w:tc>
      </w:tr>
      <w:tr>
        <w:tblPrEx>
          <w:tblCellMar>
            <w:top w:w="0" w:type="dxa"/>
            <w:left w:w="108" w:type="dxa"/>
            <w:bottom w:w="0" w:type="dxa"/>
            <w:right w:w="108" w:type="dxa"/>
          </w:tblCellMar>
        </w:tblPrEx>
        <w:trPr>
          <w:trHeight w:val="664"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国有土地收益基金收入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1982</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1474</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74.3%</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207.文化旅游体育与传媒支出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31</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31</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4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农业土地开发资金收入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208.社会保障和就业支出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5930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5164</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87.1%</w:t>
            </w:r>
          </w:p>
        </w:tc>
      </w:tr>
      <w:tr>
        <w:tblPrEx>
          <w:tblCellMar>
            <w:top w:w="0" w:type="dxa"/>
            <w:left w:w="108" w:type="dxa"/>
            <w:bottom w:w="0" w:type="dxa"/>
            <w:right w:w="108" w:type="dxa"/>
          </w:tblCellMar>
        </w:tblPrEx>
        <w:trPr>
          <w:trHeight w:val="647"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国有土地使用权出让收入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55570</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55345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99.6%</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212.城乡社区事务支出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74397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74305</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99.8%</w:t>
            </w:r>
          </w:p>
        </w:tc>
      </w:tr>
      <w:tr>
        <w:tblPrEx>
          <w:tblCellMar>
            <w:top w:w="0" w:type="dxa"/>
            <w:left w:w="108" w:type="dxa"/>
            <w:bottom w:w="0" w:type="dxa"/>
            <w:right w:w="108" w:type="dxa"/>
          </w:tblCellMar>
        </w:tblPrEx>
        <w:trPr>
          <w:trHeight w:val="653"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城市基础设施配套费收入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636</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642</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100.9%</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213.农林水支出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66155</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57986</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87.6%</w:t>
            </w:r>
          </w:p>
        </w:tc>
      </w:tr>
      <w:tr>
        <w:tblPrEx>
          <w:tblCellMar>
            <w:top w:w="0" w:type="dxa"/>
            <w:left w:w="108" w:type="dxa"/>
            <w:bottom w:w="0" w:type="dxa"/>
            <w:right w:w="108" w:type="dxa"/>
          </w:tblCellMar>
        </w:tblPrEx>
        <w:trPr>
          <w:trHeight w:val="645"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污水处理费</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775</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803</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103.6%</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214.交通</w:t>
            </w:r>
            <w:r>
              <w:rPr>
                <w:rFonts w:ascii="宋体" w:hAnsi="宋体"/>
                <w:color w:val="auto"/>
                <w:sz w:val="18"/>
                <w:szCs w:val="18"/>
                <w:highlight w:val="none"/>
              </w:rPr>
              <w:t>运输支出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1194</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1194</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45"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车辆</w:t>
            </w:r>
            <w:r>
              <w:rPr>
                <w:rFonts w:ascii="宋体" w:hAnsi="宋体"/>
                <w:color w:val="auto"/>
                <w:sz w:val="18"/>
                <w:szCs w:val="18"/>
                <w:highlight w:val="none"/>
              </w:rPr>
              <w:t>通行费</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1185</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1085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91.5%</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229.其他支出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36195</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36102</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99.7%</w:t>
            </w:r>
          </w:p>
        </w:tc>
      </w:tr>
      <w:tr>
        <w:tblPrEx>
          <w:tblCellMar>
            <w:top w:w="0" w:type="dxa"/>
            <w:left w:w="108" w:type="dxa"/>
            <w:bottom w:w="0" w:type="dxa"/>
            <w:right w:w="108" w:type="dxa"/>
          </w:tblCellMar>
        </w:tblPrEx>
        <w:trPr>
          <w:trHeight w:val="653"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专项</w:t>
            </w:r>
            <w:r>
              <w:rPr>
                <w:rFonts w:ascii="宋体" w:hAnsi="宋体"/>
                <w:color w:val="auto"/>
                <w:sz w:val="18"/>
                <w:szCs w:val="18"/>
                <w:highlight w:val="none"/>
              </w:rPr>
              <w:t>债券对应项目专项收入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15523</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16361</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105.4%</w:t>
            </w:r>
          </w:p>
        </w:tc>
        <w:tc>
          <w:tcPr>
            <w:tcW w:w="2262"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rPr>
                <w:rFonts w:ascii="宋体" w:hAnsi="宋体"/>
                <w:color w:val="auto"/>
                <w:kern w:val="0"/>
                <w:sz w:val="18"/>
                <w:szCs w:val="18"/>
                <w:highlight w:val="none"/>
              </w:rPr>
            </w:pPr>
            <w:r>
              <w:rPr>
                <w:rFonts w:hint="eastAsia" w:ascii="宋体" w:hAnsi="宋体"/>
                <w:color w:val="auto"/>
                <w:sz w:val="18"/>
                <w:szCs w:val="18"/>
                <w:highlight w:val="none"/>
              </w:rPr>
              <w:t>232.债务付息支出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6878</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6878</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30"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233.债务发行费支出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47</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56"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二、上年结转收入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25411</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25411</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二、债务还本支出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14050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14050</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w:t>
            </w:r>
          </w:p>
        </w:tc>
      </w:tr>
      <w:tr>
        <w:tblPrEx>
          <w:tblCellMar>
            <w:top w:w="0" w:type="dxa"/>
            <w:left w:w="108" w:type="dxa"/>
            <w:bottom w:w="0" w:type="dxa"/>
            <w:right w:w="108" w:type="dxa"/>
          </w:tblCellMar>
        </w:tblPrEx>
        <w:trPr>
          <w:trHeight w:val="57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三、债券转贷收入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49850</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49850</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三、调出资金</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4500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4520</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w:t>
            </w:r>
            <w:r>
              <w:rPr>
                <w:rFonts w:hint="eastAsia" w:ascii="宋体" w:hAnsi="宋体"/>
                <w:color w:val="auto"/>
                <w:sz w:val="18"/>
                <w:szCs w:val="18"/>
                <w:highlight w:val="none"/>
                <w:lang w:val="en-US" w:eastAsia="zh-CN"/>
              </w:rPr>
              <w:t>4</w:t>
            </w:r>
            <w:r>
              <w:rPr>
                <w:rFonts w:hint="eastAsia" w:ascii="宋体" w:hAnsi="宋体"/>
                <w:color w:val="auto"/>
                <w:sz w:val="18"/>
                <w:szCs w:val="18"/>
                <w:highlight w:val="none"/>
              </w:rPr>
              <w:t>%</w:t>
            </w:r>
          </w:p>
        </w:tc>
      </w:tr>
      <w:tr>
        <w:tblPrEx>
          <w:tblCellMar>
            <w:top w:w="0" w:type="dxa"/>
            <w:left w:w="108" w:type="dxa"/>
            <w:bottom w:w="0" w:type="dxa"/>
            <w:right w:w="108" w:type="dxa"/>
          </w:tblCellMar>
        </w:tblPrEx>
        <w:trPr>
          <w:trHeight w:val="65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四、专项转移支付收入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72601</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72934</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100.4%</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四、上解资金</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582"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五、调入资金</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451"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588"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收入合计</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223533</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223905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100.1%</w:t>
            </w: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支出合计</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209377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200277</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95.6%</w:t>
            </w:r>
          </w:p>
        </w:tc>
      </w:tr>
      <w:tr>
        <w:tblPrEx>
          <w:tblCellMar>
            <w:top w:w="0" w:type="dxa"/>
            <w:left w:w="108" w:type="dxa"/>
            <w:bottom w:w="0" w:type="dxa"/>
            <w:right w:w="108" w:type="dxa"/>
          </w:tblCellMar>
        </w:tblPrEx>
        <w:trPr>
          <w:trHeight w:val="518"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49"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50"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51"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结转下年</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14156</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23628</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166.9%</w:t>
            </w:r>
          </w:p>
        </w:tc>
      </w:tr>
    </w:tbl>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w:t>
      </w:r>
      <w:r>
        <w:rPr>
          <w:rFonts w:hint="eastAsia" w:ascii="黑体" w:hAnsi="黑体" w:eastAsia="黑体" w:cs="宋体"/>
          <w:color w:val="auto"/>
          <w:kern w:val="0"/>
          <w:sz w:val="32"/>
          <w:szCs w:val="32"/>
          <w:highlight w:val="none"/>
          <w:lang w:val="en-US" w:eastAsia="zh-CN"/>
        </w:rPr>
        <w:t>2-0</w:t>
      </w:r>
      <w:r>
        <w:rPr>
          <w:rFonts w:hint="eastAsia" w:ascii="黑体" w:hAnsi="黑体" w:eastAsia="黑体" w:cs="宋体"/>
          <w:color w:val="auto"/>
          <w:kern w:val="0"/>
          <w:sz w:val="32"/>
          <w:szCs w:val="32"/>
          <w:highlight w:val="none"/>
        </w:rPr>
        <w:t xml:space="preserve">3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20</w:t>
      </w:r>
      <w:r>
        <w:rPr>
          <w:rFonts w:ascii="方正小标宋简体" w:eastAsia="方正小标宋简体"/>
          <w:color w:val="auto"/>
          <w:sz w:val="44"/>
          <w:szCs w:val="44"/>
          <w:highlight w:val="none"/>
        </w:rPr>
        <w:t>2</w:t>
      </w:r>
      <w:r>
        <w:rPr>
          <w:rFonts w:hint="eastAsia" w:ascii="方正小标宋简体" w:eastAsia="方正小标宋简体"/>
          <w:color w:val="auto"/>
          <w:sz w:val="44"/>
          <w:szCs w:val="44"/>
          <w:highlight w:val="none"/>
        </w:rPr>
        <w:t>1年社会保险基金预算</w:t>
      </w:r>
      <w:r>
        <w:rPr>
          <w:rFonts w:hint="eastAsia" w:ascii="方正小标宋简体" w:eastAsia="方正小标宋简体"/>
          <w:color w:val="auto"/>
          <w:sz w:val="44"/>
          <w:szCs w:val="44"/>
          <w:highlight w:val="none"/>
          <w:lang w:eastAsia="zh-CN"/>
        </w:rPr>
        <w:t>执行</w:t>
      </w:r>
      <w:r>
        <w:rPr>
          <w:rFonts w:hint="eastAsia" w:ascii="方正小标宋简体" w:eastAsia="方正小标宋简体"/>
          <w:color w:val="auto"/>
          <w:sz w:val="44"/>
          <w:szCs w:val="44"/>
          <w:highlight w:val="none"/>
        </w:rPr>
        <w:t>情况表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宋体" w:hAnsi="宋体" w:cs="宋体"/>
          <w:color w:val="auto"/>
          <w:sz w:val="22"/>
          <w:szCs w:val="22"/>
          <w:highlight w:val="none"/>
        </w:rPr>
      </w:pPr>
      <w:r>
        <w:rPr>
          <w:rFonts w:hint="eastAsia" w:ascii="宋体" w:hAnsi="宋体"/>
          <w:color w:val="auto"/>
          <w:sz w:val="22"/>
          <w:szCs w:val="22"/>
          <w:highlight w:val="none"/>
        </w:rPr>
        <w:t>单位：万元</w:t>
      </w:r>
    </w:p>
    <w:tbl>
      <w:tblPr>
        <w:tblStyle w:val="11"/>
        <w:tblW w:w="0" w:type="auto"/>
        <w:jc w:val="center"/>
        <w:tblLayout w:type="fixed"/>
        <w:tblCellMar>
          <w:top w:w="0" w:type="dxa"/>
          <w:left w:w="108" w:type="dxa"/>
          <w:bottom w:w="0" w:type="dxa"/>
          <w:right w:w="108" w:type="dxa"/>
        </w:tblCellMar>
      </w:tblPr>
      <w:tblGrid>
        <w:gridCol w:w="2194"/>
        <w:gridCol w:w="868"/>
        <w:gridCol w:w="864"/>
        <w:gridCol w:w="1008"/>
        <w:gridCol w:w="2196"/>
        <w:gridCol w:w="828"/>
        <w:gridCol w:w="818"/>
        <w:gridCol w:w="914"/>
      </w:tblGrid>
      <w:tr>
        <w:tblPrEx>
          <w:tblCellMar>
            <w:top w:w="0" w:type="dxa"/>
            <w:left w:w="108" w:type="dxa"/>
            <w:bottom w:w="0" w:type="dxa"/>
            <w:right w:w="108" w:type="dxa"/>
          </w:tblCellMar>
        </w:tblPrEx>
        <w:trPr>
          <w:trHeight w:val="486" w:hRule="atLeast"/>
          <w:jc w:val="center"/>
        </w:trPr>
        <w:tc>
          <w:tcPr>
            <w:tcW w:w="493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     入</w:t>
            </w:r>
          </w:p>
        </w:tc>
        <w:tc>
          <w:tcPr>
            <w:tcW w:w="4756" w:type="dxa"/>
            <w:gridSpan w:val="4"/>
            <w:tcBorders>
              <w:top w:val="single" w:color="auto" w:sz="4" w:space="0"/>
              <w:left w:val="nil"/>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802" w:hRule="atLeast"/>
          <w:jc w:val="center"/>
        </w:trPr>
        <w:tc>
          <w:tcPr>
            <w:tcW w:w="2194"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6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64"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100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196" w:type="dxa"/>
            <w:tcBorders>
              <w:top w:val="nil"/>
              <w:left w:val="nil"/>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2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1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91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8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一、本</w:t>
            </w:r>
            <w:r>
              <w:rPr>
                <w:rFonts w:hint="eastAsia" w:ascii="宋体" w:hAnsi="宋体"/>
                <w:color w:val="auto"/>
                <w:sz w:val="18"/>
                <w:szCs w:val="18"/>
                <w:highlight w:val="none"/>
                <w:lang w:eastAsia="zh-CN"/>
              </w:rPr>
              <w:t>年</w:t>
            </w:r>
            <w:r>
              <w:rPr>
                <w:rFonts w:hint="eastAsia" w:ascii="宋体" w:hAnsi="宋体"/>
                <w:color w:val="auto"/>
                <w:sz w:val="18"/>
                <w:szCs w:val="18"/>
                <w:highlight w:val="none"/>
              </w:rPr>
              <w:t>收入</w:t>
            </w:r>
          </w:p>
        </w:tc>
        <w:tc>
          <w:tcPr>
            <w:tcW w:w="86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62593</w:t>
            </w:r>
          </w:p>
        </w:tc>
        <w:tc>
          <w:tcPr>
            <w:tcW w:w="864" w:type="dxa"/>
            <w:tcBorders>
              <w:top w:val="single" w:color="auto" w:sz="4" w:space="0"/>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59493</w:t>
            </w:r>
          </w:p>
        </w:tc>
        <w:tc>
          <w:tcPr>
            <w:tcW w:w="1008" w:type="dxa"/>
            <w:tcBorders>
              <w:top w:val="single" w:color="auto" w:sz="4" w:space="0"/>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一、本年支出</w:t>
            </w:r>
          </w:p>
        </w:tc>
        <w:tc>
          <w:tcPr>
            <w:tcW w:w="82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53489</w:t>
            </w:r>
          </w:p>
        </w:tc>
        <w:tc>
          <w:tcPr>
            <w:tcW w:w="818"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56371</w:t>
            </w:r>
          </w:p>
        </w:tc>
        <w:tc>
          <w:tcPr>
            <w:tcW w:w="914"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105.3%</w:t>
            </w:r>
          </w:p>
        </w:tc>
      </w:tr>
      <w:tr>
        <w:tblPrEx>
          <w:tblCellMar>
            <w:top w:w="0" w:type="dxa"/>
            <w:left w:w="108" w:type="dxa"/>
            <w:bottom w:w="0" w:type="dxa"/>
            <w:right w:w="108" w:type="dxa"/>
          </w:tblCellMar>
        </w:tblPrEx>
        <w:trPr>
          <w:trHeight w:val="665"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企业职工养老保险基金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企业职工养老保险基金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64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eastAsia="宋体" w:cs="Tahoma"/>
                <w:color w:val="auto"/>
                <w:sz w:val="18"/>
                <w:szCs w:val="18"/>
                <w:highlight w:val="none"/>
              </w:rPr>
              <w:t>17255</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14615</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84.7%</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9928</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10464</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105.4%</w:t>
            </w:r>
          </w:p>
        </w:tc>
      </w:tr>
      <w:tr>
        <w:tblPrEx>
          <w:tblCellMar>
            <w:top w:w="0" w:type="dxa"/>
            <w:left w:w="108" w:type="dxa"/>
            <w:bottom w:w="0" w:type="dxa"/>
            <w:right w:w="108" w:type="dxa"/>
          </w:tblCellMar>
        </w:tblPrEx>
        <w:trPr>
          <w:trHeight w:val="64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职工医疗保险基金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12953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13866</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107.1%</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职工医疗保险基金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11195</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10892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97.2%</w:t>
            </w:r>
          </w:p>
        </w:tc>
      </w:tr>
      <w:tr>
        <w:tblPrEx>
          <w:tblCellMar>
            <w:top w:w="0" w:type="dxa"/>
            <w:left w:w="108" w:type="dxa"/>
            <w:bottom w:w="0" w:type="dxa"/>
            <w:right w:w="108" w:type="dxa"/>
          </w:tblCellMar>
        </w:tblPrEx>
        <w:trPr>
          <w:trHeight w:val="654"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城乡居民医疗保险基金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城乡居民医疗保险基金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64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工伤保险基金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910</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2102</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230.9%</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工伤保险基金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1011</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2472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244.5%</w:t>
            </w:r>
          </w:p>
        </w:tc>
      </w:tr>
      <w:tr>
        <w:tblPrEx>
          <w:tblCellMar>
            <w:top w:w="0" w:type="dxa"/>
            <w:left w:w="108" w:type="dxa"/>
            <w:bottom w:w="0" w:type="dxa"/>
            <w:right w:w="108" w:type="dxa"/>
          </w:tblCellMar>
        </w:tblPrEx>
        <w:trPr>
          <w:trHeight w:val="654"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失业保险基金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1603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1614</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100.6%</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失业保险基金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1483</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1641</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110.6%</w:t>
            </w:r>
          </w:p>
        </w:tc>
      </w:tr>
      <w:tr>
        <w:tblPrEx>
          <w:tblCellMar>
            <w:top w:w="0" w:type="dxa"/>
            <w:left w:w="108" w:type="dxa"/>
            <w:bottom w:w="0" w:type="dxa"/>
            <w:right w:w="108" w:type="dxa"/>
          </w:tblCellMar>
        </w:tblPrEx>
        <w:trPr>
          <w:trHeight w:val="54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机关事业养老保险基金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29872</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27296</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91.3%</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机关事业养老保险基金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29872</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30902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103.4%</w:t>
            </w:r>
          </w:p>
        </w:tc>
      </w:tr>
      <w:tr>
        <w:tblPrEx>
          <w:tblCellMar>
            <w:top w:w="0" w:type="dxa"/>
            <w:left w:w="108" w:type="dxa"/>
            <w:bottom w:w="0" w:type="dxa"/>
            <w:right w:w="108" w:type="dxa"/>
          </w:tblCellMar>
        </w:tblPrEx>
        <w:trPr>
          <w:trHeight w:val="65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7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二、历年滚存结余</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43140</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43140</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65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8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7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89"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jc w:val="both"/>
              <w:rPr>
                <w:rFonts w:ascii="宋体" w:hAnsi="宋体"/>
                <w:color w:val="auto"/>
                <w:sz w:val="18"/>
                <w:szCs w:val="18"/>
                <w:highlight w:val="none"/>
              </w:rPr>
            </w:pPr>
            <w:r>
              <w:rPr>
                <w:rFonts w:hint="eastAsia" w:ascii="宋体" w:hAnsi="宋体"/>
                <w:color w:val="auto"/>
                <w:sz w:val="18"/>
                <w:szCs w:val="18"/>
                <w:highlight w:val="none"/>
              </w:rPr>
              <w:t>收入合计</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105733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102633</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97.1%</w:t>
            </w:r>
          </w:p>
        </w:tc>
        <w:tc>
          <w:tcPr>
            <w:tcW w:w="2196" w:type="dxa"/>
            <w:tcBorders>
              <w:top w:val="nil"/>
              <w:left w:val="nil"/>
              <w:bottom w:val="single" w:color="auto" w:sz="4" w:space="0"/>
              <w:right w:val="single" w:color="auto" w:sz="4" w:space="0"/>
            </w:tcBorders>
            <w:noWrap/>
            <w:vAlign w:val="center"/>
          </w:tcPr>
          <w:p>
            <w:pPr>
              <w:spacing w:line="340" w:lineRule="exact"/>
              <w:jc w:val="both"/>
              <w:rPr>
                <w:rFonts w:ascii="宋体" w:hAnsi="宋体"/>
                <w:color w:val="auto"/>
                <w:sz w:val="18"/>
                <w:szCs w:val="18"/>
                <w:highlight w:val="none"/>
              </w:rPr>
            </w:pPr>
            <w:r>
              <w:rPr>
                <w:rFonts w:hint="eastAsia" w:ascii="宋体" w:hAnsi="宋体"/>
                <w:color w:val="auto"/>
                <w:sz w:val="18"/>
                <w:szCs w:val="18"/>
                <w:highlight w:val="none"/>
              </w:rPr>
              <w:t>支出合计</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53489</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56371</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105.3%</w:t>
            </w:r>
          </w:p>
        </w:tc>
      </w:tr>
      <w:tr>
        <w:tblPrEx>
          <w:tblCellMar>
            <w:top w:w="0" w:type="dxa"/>
            <w:left w:w="108" w:type="dxa"/>
            <w:bottom w:w="0" w:type="dxa"/>
            <w:right w:w="108" w:type="dxa"/>
          </w:tblCellMar>
        </w:tblPrEx>
        <w:trPr>
          <w:trHeight w:val="519" w:hRule="atLeast"/>
          <w:jc w:val="center"/>
        </w:trPr>
        <w:tc>
          <w:tcPr>
            <w:tcW w:w="2194"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1008"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2196" w:type="dxa"/>
            <w:tcBorders>
              <w:top w:val="nil"/>
              <w:left w:val="nil"/>
              <w:bottom w:val="single" w:color="auto" w:sz="4" w:space="0"/>
              <w:right w:val="single" w:color="auto" w:sz="4" w:space="0"/>
            </w:tcBorders>
            <w:noWrap/>
            <w:vAlign w:val="center"/>
          </w:tcPr>
          <w:p>
            <w:pPr>
              <w:jc w:val="both"/>
              <w:rPr>
                <w:rFonts w:ascii="宋体" w:hAnsi="宋体"/>
                <w:color w:val="auto"/>
                <w:sz w:val="18"/>
                <w:szCs w:val="18"/>
                <w:highlight w:val="none"/>
              </w:rPr>
            </w:pPr>
            <w:r>
              <w:rPr>
                <w:rFonts w:hint="eastAsia" w:ascii="宋体" w:hAnsi="宋体"/>
                <w:color w:val="auto"/>
                <w:sz w:val="18"/>
                <w:szCs w:val="18"/>
                <w:highlight w:val="none"/>
              </w:rPr>
              <w:t>结转下年</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52244</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46262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88.5%</w:t>
            </w:r>
          </w:p>
        </w:tc>
      </w:tr>
    </w:tbl>
    <w:p>
      <w:pPr>
        <w:keepNext w:val="0"/>
        <w:keepLines w:val="0"/>
        <w:pageBreakBefore w:val="0"/>
        <w:widowControl w:val="0"/>
        <w:tabs>
          <w:tab w:val="left" w:pos="8505"/>
        </w:tabs>
        <w:kinsoku/>
        <w:wordWrap/>
        <w:overflowPunct/>
        <w:topLinePunct w:val="0"/>
        <w:autoSpaceDE/>
        <w:autoSpaceDN/>
        <w:bidi w:val="0"/>
        <w:adjustRightIn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w:t>
      </w:r>
      <w:r>
        <w:rPr>
          <w:rFonts w:hint="eastAsia" w:ascii="黑体" w:hAnsi="黑体" w:eastAsia="黑体" w:cs="宋体"/>
          <w:color w:val="auto"/>
          <w:kern w:val="0"/>
          <w:sz w:val="32"/>
          <w:szCs w:val="32"/>
          <w:highlight w:val="none"/>
          <w:lang w:val="en-US" w:eastAsia="zh-CN"/>
        </w:rPr>
        <w:t>2-0</w:t>
      </w:r>
      <w:r>
        <w:rPr>
          <w:rFonts w:hint="eastAsia" w:ascii="黑体" w:hAnsi="黑体" w:eastAsia="黑体" w:cs="宋体"/>
          <w:color w:val="auto"/>
          <w:kern w:val="0"/>
          <w:sz w:val="32"/>
          <w:szCs w:val="32"/>
          <w:highlight w:val="none"/>
        </w:rPr>
        <w:t xml:space="preserve">4 </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202</w:t>
      </w:r>
      <w:r>
        <w:rPr>
          <w:rFonts w:hint="eastAsia" w:ascii="方正小标宋简体" w:eastAsia="方正小标宋简体"/>
          <w:color w:val="auto"/>
          <w:sz w:val="44"/>
          <w:szCs w:val="44"/>
          <w:highlight w:val="none"/>
        </w:rPr>
        <w:t>1年国有资本经营预算</w:t>
      </w:r>
      <w:r>
        <w:rPr>
          <w:rFonts w:hint="eastAsia" w:ascii="方正小标宋简体" w:eastAsia="方正小标宋简体"/>
          <w:color w:val="auto"/>
          <w:sz w:val="44"/>
          <w:szCs w:val="44"/>
          <w:highlight w:val="none"/>
          <w:lang w:eastAsia="zh-CN"/>
        </w:rPr>
        <w:t>执行</w:t>
      </w:r>
      <w:r>
        <w:rPr>
          <w:rFonts w:hint="eastAsia" w:ascii="方正小标宋简体" w:eastAsia="方正小标宋简体"/>
          <w:color w:val="auto"/>
          <w:sz w:val="44"/>
          <w:szCs w:val="44"/>
          <w:highlight w:val="none"/>
        </w:rPr>
        <w:t>情况表</w:t>
      </w:r>
    </w:p>
    <w:p>
      <w:pPr>
        <w:keepNext w:val="0"/>
        <w:keepLines w:val="0"/>
        <w:pageBreakBefore w:val="0"/>
        <w:widowControl w:val="0"/>
        <w:kinsoku/>
        <w:wordWrap/>
        <w:overflowPunct/>
        <w:topLinePunct w:val="0"/>
        <w:autoSpaceDE/>
        <w:autoSpaceDN/>
        <w:bidi w:val="0"/>
        <w:adjustRightInd/>
        <w:spacing w:line="560" w:lineRule="exact"/>
        <w:jc w:val="right"/>
        <w:textAlignment w:val="auto"/>
        <w:rPr>
          <w:rFonts w:ascii="宋体" w:hAnsi="宋体" w:cs="宋体"/>
          <w:color w:val="auto"/>
          <w:szCs w:val="21"/>
          <w:highlight w:val="none"/>
        </w:rPr>
      </w:pPr>
      <w:r>
        <w:rPr>
          <w:rFonts w:hint="eastAsia" w:ascii="宋体" w:hAnsi="宋体"/>
          <w:color w:val="auto"/>
          <w:szCs w:val="21"/>
          <w:highlight w:val="none"/>
        </w:rPr>
        <w:t>单位：万元</w:t>
      </w:r>
    </w:p>
    <w:tbl>
      <w:tblPr>
        <w:tblStyle w:val="11"/>
        <w:tblW w:w="9528" w:type="dxa"/>
        <w:jc w:val="center"/>
        <w:tblLayout w:type="fixed"/>
        <w:tblCellMar>
          <w:top w:w="0" w:type="dxa"/>
          <w:left w:w="108" w:type="dxa"/>
          <w:bottom w:w="0" w:type="dxa"/>
          <w:right w:w="108" w:type="dxa"/>
        </w:tblCellMar>
      </w:tblPr>
      <w:tblGrid>
        <w:gridCol w:w="2072"/>
        <w:gridCol w:w="820"/>
        <w:gridCol w:w="816"/>
        <w:gridCol w:w="955"/>
        <w:gridCol w:w="2312"/>
        <w:gridCol w:w="819"/>
        <w:gridCol w:w="772"/>
        <w:gridCol w:w="962"/>
      </w:tblGrid>
      <w:tr>
        <w:tblPrEx>
          <w:tblCellMar>
            <w:top w:w="0" w:type="dxa"/>
            <w:left w:w="108" w:type="dxa"/>
            <w:bottom w:w="0" w:type="dxa"/>
            <w:right w:w="108" w:type="dxa"/>
          </w:tblCellMar>
        </w:tblPrEx>
        <w:trPr>
          <w:trHeight w:val="634" w:hRule="atLeast"/>
          <w:jc w:val="center"/>
        </w:trPr>
        <w:tc>
          <w:tcPr>
            <w:tcW w:w="4663"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bookmarkStart w:id="0" w:name="OLE_LINK1"/>
            <w:r>
              <w:rPr>
                <w:rFonts w:hint="eastAsia" w:ascii="宋体" w:hAnsi="宋体" w:cs="宋体"/>
                <w:bCs/>
                <w:color w:val="auto"/>
                <w:kern w:val="0"/>
                <w:sz w:val="18"/>
                <w:szCs w:val="18"/>
                <w:highlight w:val="none"/>
              </w:rPr>
              <w:t>收     入</w:t>
            </w:r>
          </w:p>
        </w:tc>
        <w:tc>
          <w:tcPr>
            <w:tcW w:w="4865" w:type="dxa"/>
            <w:gridSpan w:val="4"/>
            <w:tcBorders>
              <w:top w:val="single" w:color="auto" w:sz="4" w:space="0"/>
              <w:left w:val="nil"/>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980" w:hRule="atLeast"/>
          <w:jc w:val="center"/>
        </w:trPr>
        <w:tc>
          <w:tcPr>
            <w:tcW w:w="2072"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olor w:val="auto"/>
                <w:kern w:val="0"/>
                <w:sz w:val="18"/>
                <w:szCs w:val="18"/>
                <w:highlight w:val="none"/>
              </w:rPr>
            </w:pPr>
            <w:r>
              <w:rPr>
                <w:rFonts w:hint="eastAsia" w:ascii="宋体" w:hAnsi="宋体" w:cs="宋体"/>
                <w:color w:val="auto"/>
                <w:kern w:val="0"/>
                <w:sz w:val="18"/>
                <w:szCs w:val="18"/>
                <w:highlight w:val="none"/>
              </w:rPr>
              <w:t>项    目</w:t>
            </w:r>
          </w:p>
        </w:tc>
        <w:tc>
          <w:tcPr>
            <w:tcW w:w="82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955"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312"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rPr>
              <w:t>项   目</w:t>
            </w:r>
          </w:p>
        </w:tc>
        <w:tc>
          <w:tcPr>
            <w:tcW w:w="819"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lang w:eastAsia="zh-CN"/>
              </w:rPr>
              <w:t>预算调整数</w:t>
            </w:r>
          </w:p>
        </w:tc>
        <w:tc>
          <w:tcPr>
            <w:tcW w:w="77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lang w:eastAsia="zh-CN"/>
              </w:rPr>
              <w:t>预算执行数</w:t>
            </w:r>
          </w:p>
        </w:tc>
        <w:tc>
          <w:tcPr>
            <w:tcW w:w="96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olor w:val="auto"/>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61" w:hRule="atLeast"/>
          <w:jc w:val="center"/>
        </w:trPr>
        <w:tc>
          <w:tcPr>
            <w:tcW w:w="207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olor w:val="auto"/>
                <w:sz w:val="18"/>
                <w:szCs w:val="18"/>
                <w:highlight w:val="none"/>
                <w:lang w:eastAsia="zh-CN"/>
              </w:rPr>
            </w:pPr>
            <w:r>
              <w:rPr>
                <w:rFonts w:hint="eastAsia" w:ascii="宋体" w:hAnsi="宋体"/>
                <w:color w:val="auto"/>
                <w:sz w:val="18"/>
                <w:szCs w:val="18"/>
                <w:highlight w:val="none"/>
                <w:lang w:eastAsia="zh-CN"/>
              </w:rPr>
              <w:t>一、本年收入</w:t>
            </w:r>
          </w:p>
        </w:tc>
        <w:tc>
          <w:tcPr>
            <w:tcW w:w="82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681</w:t>
            </w:r>
          </w:p>
        </w:tc>
        <w:tc>
          <w:tcPr>
            <w:tcW w:w="816"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264</w:t>
            </w:r>
          </w:p>
        </w:tc>
        <w:tc>
          <w:tcPr>
            <w:tcW w:w="95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38.7%</w:t>
            </w:r>
          </w:p>
        </w:tc>
        <w:tc>
          <w:tcPr>
            <w:tcW w:w="2312"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olor w:val="auto"/>
                <w:sz w:val="18"/>
                <w:szCs w:val="18"/>
                <w:highlight w:val="none"/>
                <w:lang w:eastAsia="zh-CN"/>
              </w:rPr>
            </w:pPr>
            <w:r>
              <w:rPr>
                <w:rFonts w:hint="eastAsia" w:ascii="宋体" w:hAnsi="宋体"/>
                <w:color w:val="auto"/>
                <w:sz w:val="18"/>
                <w:szCs w:val="18"/>
                <w:highlight w:val="none"/>
                <w:lang w:eastAsia="zh-CN"/>
              </w:rPr>
              <w:t>一、本年支出</w:t>
            </w:r>
          </w:p>
        </w:tc>
        <w:tc>
          <w:tcPr>
            <w:tcW w:w="819"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232</w:t>
            </w:r>
          </w:p>
        </w:tc>
        <w:tc>
          <w:tcPr>
            <w:tcW w:w="77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228</w:t>
            </w:r>
          </w:p>
        </w:tc>
        <w:tc>
          <w:tcPr>
            <w:tcW w:w="9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98.2%</w:t>
            </w:r>
          </w:p>
        </w:tc>
      </w:tr>
      <w:tr>
        <w:tblPrEx>
          <w:tblCellMar>
            <w:top w:w="0" w:type="dxa"/>
            <w:left w:w="108" w:type="dxa"/>
            <w:bottom w:w="0" w:type="dxa"/>
            <w:right w:w="108" w:type="dxa"/>
          </w:tblCellMar>
        </w:tblPrEx>
        <w:trPr>
          <w:trHeight w:val="746"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利润收入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450</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228</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50.6%</w:t>
            </w: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解决</w:t>
            </w:r>
            <w:r>
              <w:rPr>
                <w:rFonts w:ascii="宋体" w:hAnsi="宋体"/>
                <w:color w:val="auto"/>
                <w:sz w:val="18"/>
                <w:szCs w:val="18"/>
                <w:highlight w:val="none"/>
              </w:rPr>
              <w:t>历史遗留问题及改革成本支出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4</w:t>
            </w: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867"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股利、股息收入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231</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36</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15.5%</w:t>
            </w: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国有</w:t>
            </w:r>
            <w:r>
              <w:rPr>
                <w:rFonts w:ascii="宋体" w:hAnsi="宋体"/>
                <w:color w:val="auto"/>
                <w:sz w:val="18"/>
                <w:szCs w:val="18"/>
                <w:highlight w:val="none"/>
              </w:rPr>
              <w:t>企业退休人员社会化管理补助支出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836"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产权转让收入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国有</w:t>
            </w:r>
            <w:r>
              <w:rPr>
                <w:rFonts w:ascii="宋体" w:hAnsi="宋体"/>
                <w:color w:val="auto"/>
                <w:sz w:val="18"/>
                <w:szCs w:val="18"/>
                <w:highlight w:val="none"/>
              </w:rPr>
              <w:t>企业资本金注入</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228</w:t>
            </w: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228</w:t>
            </w: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100%</w:t>
            </w:r>
          </w:p>
        </w:tc>
      </w:tr>
      <w:tr>
        <w:tblPrEx>
          <w:tblCellMar>
            <w:top w:w="0" w:type="dxa"/>
            <w:left w:w="108" w:type="dxa"/>
            <w:bottom w:w="0" w:type="dxa"/>
            <w:right w:w="108" w:type="dxa"/>
          </w:tblCellMar>
        </w:tblPrEx>
        <w:trPr>
          <w:trHeight w:val="724"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国有股权、股份转让收入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其他</w:t>
            </w:r>
            <w:r>
              <w:rPr>
                <w:rFonts w:ascii="宋体" w:hAnsi="宋体"/>
                <w:color w:val="auto"/>
                <w:sz w:val="18"/>
                <w:szCs w:val="18"/>
                <w:highlight w:val="none"/>
              </w:rPr>
              <w:t>国有企业资本金注入</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76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清算收入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其他</w:t>
            </w:r>
            <w:r>
              <w:rPr>
                <w:rFonts w:ascii="宋体" w:hAnsi="宋体"/>
                <w:color w:val="auto"/>
                <w:sz w:val="18"/>
                <w:szCs w:val="18"/>
                <w:highlight w:val="none"/>
              </w:rPr>
              <w:t>国有资本经营预算支出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84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其他国有资本经营预算收入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77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r>
      <w:tr>
        <w:tblPrEx>
          <w:tblCellMar>
            <w:top w:w="0" w:type="dxa"/>
            <w:left w:w="108" w:type="dxa"/>
            <w:bottom w:w="0" w:type="dxa"/>
            <w:right w:w="108" w:type="dxa"/>
          </w:tblCellMar>
        </w:tblPrEx>
        <w:trPr>
          <w:trHeight w:val="627"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ind w:firstLine="360" w:firstLineChars="200"/>
              <w:rPr>
                <w:rFonts w:ascii="宋体" w:hAnsi="宋体"/>
                <w:color w:val="auto"/>
                <w:sz w:val="18"/>
                <w:szCs w:val="18"/>
                <w:highlight w:val="none"/>
              </w:rPr>
            </w:pP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77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r>
      <w:tr>
        <w:tblPrEx>
          <w:tblCellMar>
            <w:top w:w="0" w:type="dxa"/>
            <w:left w:w="108" w:type="dxa"/>
            <w:bottom w:w="0" w:type="dxa"/>
            <w:right w:w="108" w:type="dxa"/>
          </w:tblCellMar>
        </w:tblPrEx>
        <w:trPr>
          <w:trHeight w:val="823"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二</w:t>
            </w:r>
            <w:r>
              <w:rPr>
                <w:rFonts w:ascii="宋体" w:hAnsi="宋体"/>
                <w:color w:val="auto"/>
                <w:sz w:val="18"/>
                <w:szCs w:val="18"/>
                <w:highlight w:val="none"/>
              </w:rPr>
              <w:t>、</w:t>
            </w:r>
            <w:r>
              <w:rPr>
                <w:rFonts w:hint="eastAsia" w:ascii="宋体" w:hAnsi="宋体"/>
                <w:color w:val="auto"/>
                <w:sz w:val="18"/>
                <w:szCs w:val="18"/>
                <w:highlight w:val="none"/>
              </w:rPr>
              <w:t>转移</w:t>
            </w:r>
            <w:r>
              <w:rPr>
                <w:rFonts w:ascii="宋体" w:hAnsi="宋体"/>
                <w:color w:val="auto"/>
                <w:sz w:val="18"/>
                <w:szCs w:val="18"/>
                <w:highlight w:val="none"/>
              </w:rPr>
              <w:t>性收入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18</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二</w:t>
            </w:r>
            <w:r>
              <w:rPr>
                <w:rFonts w:ascii="宋体" w:hAnsi="宋体"/>
                <w:color w:val="auto"/>
                <w:sz w:val="18"/>
                <w:szCs w:val="18"/>
                <w:highlight w:val="none"/>
              </w:rPr>
              <w:t>、</w:t>
            </w:r>
            <w:r>
              <w:rPr>
                <w:rFonts w:hint="eastAsia" w:ascii="宋体" w:hAnsi="宋体"/>
                <w:color w:val="auto"/>
                <w:sz w:val="18"/>
                <w:szCs w:val="18"/>
                <w:highlight w:val="none"/>
              </w:rPr>
              <w:t>转移性</w:t>
            </w:r>
            <w:r>
              <w:rPr>
                <w:rFonts w:ascii="宋体" w:hAnsi="宋体"/>
                <w:color w:val="auto"/>
                <w:sz w:val="18"/>
                <w:szCs w:val="18"/>
                <w:highlight w:val="none"/>
              </w:rPr>
              <w:t>支出</w:t>
            </w:r>
          </w:p>
        </w:tc>
        <w:tc>
          <w:tcPr>
            <w:tcW w:w="819"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231</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36</w:t>
            </w: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lang w:val="en-US" w:eastAsia="zh-CN"/>
              </w:rPr>
              <w:t>15.5%</w:t>
            </w:r>
          </w:p>
        </w:tc>
      </w:tr>
      <w:tr>
        <w:tblPrEx>
          <w:tblCellMar>
            <w:top w:w="0" w:type="dxa"/>
            <w:left w:w="108" w:type="dxa"/>
            <w:bottom w:w="0" w:type="dxa"/>
            <w:right w:w="108" w:type="dxa"/>
          </w:tblCellMar>
        </w:tblPrEx>
        <w:trPr>
          <w:trHeight w:val="71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三</w:t>
            </w:r>
            <w:r>
              <w:rPr>
                <w:rFonts w:ascii="宋体" w:hAnsi="宋体"/>
                <w:color w:val="auto"/>
                <w:sz w:val="18"/>
                <w:szCs w:val="18"/>
                <w:highlight w:val="none"/>
              </w:rPr>
              <w:t>、</w:t>
            </w:r>
            <w:r>
              <w:rPr>
                <w:rFonts w:hint="eastAsia" w:ascii="宋体" w:hAnsi="宋体"/>
                <w:color w:val="auto"/>
                <w:sz w:val="18"/>
                <w:szCs w:val="18"/>
                <w:highlight w:val="none"/>
              </w:rPr>
              <w:t>上年</w:t>
            </w:r>
            <w:r>
              <w:rPr>
                <w:rFonts w:ascii="宋体" w:hAnsi="宋体"/>
                <w:color w:val="auto"/>
                <w:sz w:val="18"/>
                <w:szCs w:val="18"/>
                <w:highlight w:val="none"/>
              </w:rPr>
              <w:t>结转</w:t>
            </w:r>
            <w:r>
              <w:rPr>
                <w:rFonts w:hint="eastAsia" w:ascii="宋体" w:hAnsi="宋体"/>
                <w:color w:val="auto"/>
                <w:sz w:val="18"/>
                <w:szCs w:val="18"/>
                <w:highlight w:val="none"/>
              </w:rPr>
              <w:t>　</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4</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100%</w:t>
            </w: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调出</w:t>
            </w:r>
            <w:r>
              <w:rPr>
                <w:rFonts w:ascii="宋体" w:hAnsi="宋体"/>
                <w:color w:val="auto"/>
                <w:sz w:val="18"/>
                <w:szCs w:val="18"/>
                <w:highlight w:val="none"/>
              </w:rPr>
              <w:t>资金</w:t>
            </w: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rPr>
              <w:t>231</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36</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15.5%</w:t>
            </w:r>
          </w:p>
        </w:tc>
      </w:tr>
      <w:tr>
        <w:tblPrEx>
          <w:tblCellMar>
            <w:top w:w="0" w:type="dxa"/>
            <w:left w:w="108" w:type="dxa"/>
            <w:bottom w:w="0" w:type="dxa"/>
            <w:right w:w="108" w:type="dxa"/>
          </w:tblCellMar>
        </w:tblPrEx>
        <w:trPr>
          <w:trHeight w:val="856" w:hRule="atLeast"/>
          <w:jc w:val="center"/>
        </w:trPr>
        <w:tc>
          <w:tcPr>
            <w:tcW w:w="2072" w:type="dxa"/>
            <w:tcBorders>
              <w:top w:val="nil"/>
              <w:left w:val="single" w:color="auto" w:sz="4" w:space="0"/>
              <w:bottom w:val="single" w:color="auto" w:sz="4" w:space="0"/>
              <w:right w:val="single" w:color="auto" w:sz="4" w:space="0"/>
            </w:tcBorders>
            <w:noWrap/>
            <w:vAlign w:val="center"/>
          </w:tcPr>
          <w:p>
            <w:pPr>
              <w:jc w:val="left"/>
              <w:rPr>
                <w:rFonts w:ascii="宋体" w:hAnsi="宋体"/>
                <w:color w:val="auto"/>
                <w:sz w:val="18"/>
                <w:szCs w:val="18"/>
                <w:highlight w:val="none"/>
              </w:rPr>
            </w:pPr>
            <w:r>
              <w:rPr>
                <w:rFonts w:hint="eastAsia" w:ascii="宋体" w:hAnsi="宋体"/>
                <w:color w:val="auto"/>
                <w:sz w:val="18"/>
                <w:szCs w:val="18"/>
                <w:highlight w:val="none"/>
              </w:rPr>
              <w:t>收入合计</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685</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286</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41.7%</w:t>
            </w: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支出合计</w:t>
            </w: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rPr>
              <w:t>463</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264</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57%</w:t>
            </w:r>
          </w:p>
        </w:tc>
      </w:tr>
      <w:tr>
        <w:tblPrEx>
          <w:tblCellMar>
            <w:top w:w="0" w:type="dxa"/>
            <w:left w:w="108" w:type="dxa"/>
            <w:bottom w:w="0" w:type="dxa"/>
            <w:right w:w="108" w:type="dxa"/>
          </w:tblCellMar>
        </w:tblPrEx>
        <w:trPr>
          <w:trHeight w:val="745"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955"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结转</w:t>
            </w:r>
            <w:r>
              <w:rPr>
                <w:rFonts w:ascii="宋体" w:hAnsi="宋体"/>
                <w:color w:val="auto"/>
                <w:sz w:val="18"/>
                <w:szCs w:val="18"/>
                <w:highlight w:val="none"/>
              </w:rPr>
              <w:t>下年</w:t>
            </w:r>
          </w:p>
        </w:tc>
        <w:tc>
          <w:tcPr>
            <w:tcW w:w="819"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222</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22</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9.9%</w:t>
            </w:r>
          </w:p>
        </w:tc>
      </w:tr>
      <w:bookmarkEnd w:id="0"/>
    </w:tbl>
    <w:p>
      <w:pPr>
        <w:rPr>
          <w:color w:val="auto"/>
          <w:highlight w:val="none"/>
        </w:rPr>
      </w:pPr>
    </w:p>
    <w:p>
      <w:pPr>
        <w:rPr>
          <w:rFonts w:ascii="黑体" w:hAnsi="黑体" w:eastAsia="黑体" w:cs="宋体"/>
          <w:color w:val="auto"/>
          <w:kern w:val="0"/>
          <w:sz w:val="36"/>
          <w:szCs w:val="36"/>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 xml:space="preserve">-01    </w:t>
      </w:r>
    </w:p>
    <w:p>
      <w:pPr>
        <w:spacing w:line="400" w:lineRule="exact"/>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一般公共预算（草案）计划表</w:t>
      </w:r>
    </w:p>
    <w:p>
      <w:pPr>
        <w:spacing w:line="360" w:lineRule="exact"/>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2620"/>
        <w:gridCol w:w="1080"/>
        <w:gridCol w:w="2615"/>
        <w:gridCol w:w="1080"/>
        <w:gridCol w:w="1080"/>
        <w:gridCol w:w="900"/>
      </w:tblGrid>
      <w:tr>
        <w:tblPrEx>
          <w:tblCellMar>
            <w:top w:w="0" w:type="dxa"/>
            <w:left w:w="108" w:type="dxa"/>
            <w:bottom w:w="0" w:type="dxa"/>
            <w:right w:w="108" w:type="dxa"/>
          </w:tblCellMar>
        </w:tblPrEx>
        <w:trPr>
          <w:trHeight w:val="355" w:hRule="atLeast"/>
        </w:trPr>
        <w:tc>
          <w:tcPr>
            <w:tcW w:w="370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收 入 预 算</w:t>
            </w:r>
          </w:p>
        </w:tc>
        <w:tc>
          <w:tcPr>
            <w:tcW w:w="5675" w:type="dxa"/>
            <w:gridSpan w:val="4"/>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支  出  预  算</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080"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2615"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080"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合  计</w:t>
            </w:r>
          </w:p>
        </w:tc>
        <w:tc>
          <w:tcPr>
            <w:tcW w:w="1080" w:type="dxa"/>
            <w:tcBorders>
              <w:top w:val="nil"/>
              <w:left w:val="nil"/>
              <w:bottom w:val="single" w:color="auto" w:sz="4" w:space="0"/>
              <w:right w:val="single" w:color="auto" w:sz="4" w:space="0"/>
            </w:tcBorders>
            <w:noWrap w:val="0"/>
            <w:vAlign w:val="center"/>
          </w:tcPr>
          <w:p>
            <w:pPr>
              <w:widowControl/>
              <w:spacing w:line="220" w:lineRule="exact"/>
              <w:ind w:firstLine="90" w:firstLineChars="50"/>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县本级</w:t>
            </w:r>
          </w:p>
        </w:tc>
        <w:tc>
          <w:tcPr>
            <w:tcW w:w="900" w:type="dxa"/>
            <w:tcBorders>
              <w:top w:val="nil"/>
              <w:left w:val="nil"/>
              <w:bottom w:val="single" w:color="auto" w:sz="4" w:space="0"/>
              <w:right w:val="single" w:color="auto" w:sz="4" w:space="0"/>
            </w:tcBorders>
            <w:noWrap w:val="0"/>
            <w:vAlign w:val="center"/>
          </w:tcPr>
          <w:p>
            <w:pPr>
              <w:widowControl/>
              <w:spacing w:line="220" w:lineRule="exact"/>
              <w:ind w:firstLine="90" w:firstLineChars="50"/>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乡 镇</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一、地方一般公共预算收入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lang w:val="en-US" w:eastAsia="zh-CN"/>
              </w:rPr>
              <w:t>70000</w:t>
            </w:r>
            <w:r>
              <w:rPr>
                <w:rFonts w:hint="eastAsia" w:ascii="宋体" w:hAnsi="宋体" w:cs="宋体"/>
                <w:bCs/>
                <w:color w:val="auto"/>
                <w:kern w:val="0"/>
                <w:sz w:val="18"/>
                <w:szCs w:val="18"/>
                <w:highlight w:val="none"/>
              </w:rPr>
              <w:t xml:space="preserve">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一、地方一般公共预算支出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 xml:space="preserve">314089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283284</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30805</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（一）税收收入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53000</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201、一般公共服务支出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63344</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48851</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14493</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（二）非税收入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17000</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03、国防支出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111</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111</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二、上级补助收入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212856</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204、公共安全支出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9951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9882</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69</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（一）返还性收入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ascii="宋体" w:hAnsi="宋体" w:cs="宋体"/>
                <w:color w:val="auto"/>
                <w:kern w:val="0"/>
                <w:sz w:val="18"/>
                <w:szCs w:val="18"/>
                <w:highlight w:val="none"/>
              </w:rPr>
              <w:t>15471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205、教育支出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52365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52365</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（二）一般转移支付收入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lang w:val="en-US" w:eastAsia="zh-CN"/>
              </w:rPr>
              <w:t>176784</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206、科学技术支出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2492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2492</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（三）专项转移支付收入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lang w:val="en-US" w:eastAsia="zh-CN"/>
              </w:rPr>
              <w:t>20601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207、文化旅游体育与传媒支出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4041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3981</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三、上年结转</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32383</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208、社会保障和就业支出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41698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35986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5712</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四、</w:t>
            </w:r>
            <w:r>
              <w:rPr>
                <w:rFonts w:hint="eastAsia" w:ascii="宋体" w:hAnsi="宋体" w:cs="宋体"/>
                <w:bCs/>
                <w:color w:val="auto"/>
                <w:kern w:val="0"/>
                <w:sz w:val="18"/>
                <w:szCs w:val="18"/>
                <w:highlight w:val="none"/>
                <w:lang w:eastAsia="zh-CN"/>
              </w:rPr>
              <w:t>动用</w:t>
            </w:r>
            <w:r>
              <w:rPr>
                <w:rFonts w:hint="eastAsia" w:ascii="宋体" w:hAnsi="宋体" w:cs="宋体"/>
                <w:bCs/>
                <w:color w:val="auto"/>
                <w:kern w:val="0"/>
                <w:sz w:val="18"/>
                <w:szCs w:val="18"/>
                <w:highlight w:val="none"/>
              </w:rPr>
              <w:t>预算稳定调节基金</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4132</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210、卫生健康</w:t>
            </w:r>
            <w:r>
              <w:rPr>
                <w:rFonts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46885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46807</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五、调入</w:t>
            </w:r>
            <w:r>
              <w:rPr>
                <w:rFonts w:ascii="宋体" w:hAnsi="宋体" w:cs="宋体"/>
                <w:bCs/>
                <w:color w:val="auto"/>
                <w:kern w:val="0"/>
                <w:sz w:val="18"/>
                <w:szCs w:val="18"/>
                <w:highlight w:val="none"/>
              </w:rPr>
              <w:t>资金</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10331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211、节能环保支出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3228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3228</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六、债券转贷收入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14439</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212、城乡社区支出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6704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6016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688</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213、农林水支出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45407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36466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8941</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214、交通运输支出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16669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16320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349</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215、资源勘探工业信息等支出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1243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1243</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216、商业服务业等支出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708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708</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220、自然资源</w:t>
            </w:r>
            <w:r>
              <w:rPr>
                <w:rFonts w:ascii="宋体" w:hAnsi="宋体" w:cs="宋体"/>
                <w:color w:val="auto"/>
                <w:kern w:val="0"/>
                <w:sz w:val="18"/>
                <w:szCs w:val="18"/>
                <w:highlight w:val="none"/>
              </w:rPr>
              <w:t>海洋气象等支出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2434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2434</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221、住房保障支出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4047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4047</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222、粮油物资储备支出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207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207</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24、灾害防治及应急管理</w:t>
            </w:r>
            <w:r>
              <w:rPr>
                <w:rFonts w:hint="eastAsia"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2295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2240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227、预备费</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3360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3000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360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29</w:t>
            </w:r>
            <w:r>
              <w:rPr>
                <w:rFonts w:hint="eastAsia" w:ascii="宋体" w:hAnsi="宋体" w:cs="宋体"/>
                <w:color w:val="auto"/>
                <w:kern w:val="0"/>
                <w:sz w:val="18"/>
                <w:szCs w:val="18"/>
                <w:highlight w:val="none"/>
              </w:rPr>
              <w:t>、其他</w:t>
            </w:r>
            <w:r>
              <w:rPr>
                <w:rFonts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232、债务付息支出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6900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6900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二、债务还本支出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14506</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14506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三、上解支出</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15546</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15546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收入合计</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344141</w:t>
            </w:r>
          </w:p>
        </w:tc>
        <w:tc>
          <w:tcPr>
            <w:tcW w:w="2615"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支出合计</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344141</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313336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30805</w:t>
            </w:r>
          </w:p>
        </w:tc>
      </w:tr>
    </w:tbl>
    <w:p>
      <w:pPr>
        <w:rPr>
          <w:rFonts w:hint="eastAsia" w:ascii="黑体" w:hAnsi="黑体" w:eastAsia="黑体" w:cs="宋体"/>
          <w:color w:val="auto"/>
          <w:kern w:val="0"/>
          <w:sz w:val="32"/>
          <w:szCs w:val="32"/>
          <w:highlight w:val="none"/>
          <w:lang w:eastAsia="zh-CN"/>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2</w:t>
      </w:r>
    </w:p>
    <w:p>
      <w:pPr>
        <w:spacing w:line="400" w:lineRule="exact"/>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rPr>
        <w:t>202</w:t>
      </w:r>
      <w:r>
        <w:rPr>
          <w:rFonts w:hint="eastAsia" w:ascii="方正小标宋简体" w:eastAsia="方正小标宋简体"/>
          <w:color w:val="auto"/>
          <w:sz w:val="36"/>
          <w:szCs w:val="36"/>
          <w:highlight w:val="none"/>
          <w:lang w:val="en-US" w:eastAsia="zh-CN"/>
        </w:rPr>
        <w:t>2</w:t>
      </w:r>
      <w:r>
        <w:rPr>
          <w:rFonts w:hint="eastAsia" w:ascii="方正小标宋简体" w:eastAsia="方正小标宋简体"/>
          <w:color w:val="auto"/>
          <w:sz w:val="36"/>
          <w:szCs w:val="36"/>
          <w:highlight w:val="none"/>
        </w:rPr>
        <w:t>年政府性基金预算（草案）计划表</w:t>
      </w:r>
    </w:p>
    <w:p>
      <w:pPr>
        <w:spacing w:line="300" w:lineRule="exact"/>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40"/>
        <w:gridCol w:w="1420"/>
        <w:gridCol w:w="3275"/>
        <w:gridCol w:w="1440"/>
      </w:tblGrid>
      <w:tr>
        <w:tblPrEx>
          <w:tblCellMar>
            <w:top w:w="0" w:type="dxa"/>
            <w:left w:w="108" w:type="dxa"/>
            <w:bottom w:w="0" w:type="dxa"/>
            <w:right w:w="108" w:type="dxa"/>
          </w:tblCellMar>
        </w:tblPrEx>
        <w:trPr>
          <w:trHeight w:val="447" w:hRule="atLeast"/>
        </w:trPr>
        <w:tc>
          <w:tcPr>
            <w:tcW w:w="466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715" w:type="dxa"/>
            <w:gridSpan w:val="2"/>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427" w:hRule="atLeast"/>
        </w:trPr>
        <w:tc>
          <w:tcPr>
            <w:tcW w:w="3240" w:type="dxa"/>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275"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nil"/>
              <w:left w:val="nil"/>
              <w:bottom w:val="single" w:color="auto" w:sz="4" w:space="0"/>
              <w:right w:val="single" w:color="auto" w:sz="4" w:space="0"/>
            </w:tcBorders>
            <w:noWrap w:val="0"/>
            <w:vAlign w:val="center"/>
          </w:tcPr>
          <w:p>
            <w:pPr>
              <w:widowControl/>
              <w:spacing w:line="30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一、本级收入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75635</w:t>
            </w:r>
          </w:p>
        </w:tc>
        <w:tc>
          <w:tcPr>
            <w:tcW w:w="327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一、政府性基金支出</w:t>
            </w:r>
          </w:p>
        </w:tc>
        <w:tc>
          <w:tcPr>
            <w:tcW w:w="144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116580</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国有土地收益基金收入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4680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208、社会保障和就业支出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7196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国有土地使用权出让收入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60220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大中型水库移民后期扶持基金支出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7196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城市基础设施配套费收入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212、城乡社区支出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45568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污水处理费</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国有土地使用权出让收入</w:t>
            </w:r>
            <w:r>
              <w:rPr>
                <w:rFonts w:ascii="宋体" w:hAnsi="宋体" w:eastAsia="宋体"/>
                <w:color w:val="auto"/>
                <w:sz w:val="18"/>
                <w:szCs w:val="18"/>
                <w:highlight w:val="none"/>
              </w:rPr>
              <w:t>安排的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43206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车辆通行费</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1500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城市基础设施配套费安排</w:t>
            </w:r>
            <w:r>
              <w:rPr>
                <w:rFonts w:ascii="宋体" w:hAnsi="宋体" w:eastAsia="宋体"/>
                <w:color w:val="auto"/>
                <w:sz w:val="18"/>
                <w:szCs w:val="18"/>
                <w:highlight w:val="none"/>
              </w:rPr>
              <w:t>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1167</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kern w:val="0"/>
                <w:sz w:val="18"/>
                <w:szCs w:val="18"/>
                <w:highlight w:val="none"/>
              </w:rPr>
              <w:t xml:space="preserve">  专项</w:t>
            </w:r>
            <w:r>
              <w:rPr>
                <w:rFonts w:ascii="宋体" w:hAnsi="宋体" w:eastAsia="宋体"/>
                <w:color w:val="auto"/>
                <w:kern w:val="0"/>
                <w:sz w:val="18"/>
                <w:szCs w:val="18"/>
                <w:highlight w:val="none"/>
              </w:rPr>
              <w:t>债务对应</w:t>
            </w:r>
            <w:r>
              <w:rPr>
                <w:rFonts w:hint="eastAsia" w:ascii="宋体" w:hAnsi="宋体" w:eastAsia="宋体"/>
                <w:color w:val="auto"/>
                <w:kern w:val="0"/>
                <w:sz w:val="18"/>
                <w:szCs w:val="18"/>
                <w:highlight w:val="none"/>
              </w:rPr>
              <w:t>项目</w:t>
            </w:r>
            <w:r>
              <w:rPr>
                <w:rFonts w:ascii="宋体" w:hAnsi="宋体" w:eastAsia="宋体"/>
                <w:color w:val="auto"/>
                <w:kern w:val="0"/>
                <w:sz w:val="18"/>
                <w:szCs w:val="18"/>
                <w:highlight w:val="none"/>
              </w:rPr>
              <w:t>专项收入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7835</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污水处理费安排的支出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1195</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213、农林水支出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53096</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二、转移性收入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95897</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三峡水库</w:t>
            </w:r>
            <w:r>
              <w:rPr>
                <w:rFonts w:ascii="宋体" w:hAnsi="宋体" w:eastAsia="宋体"/>
                <w:color w:val="auto"/>
                <w:sz w:val="18"/>
                <w:szCs w:val="18"/>
                <w:highlight w:val="none"/>
              </w:rPr>
              <w:t>库区基金支出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3068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（一）上年结转结余</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23628</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国家重大水利工程建设基金安排</w:t>
            </w:r>
            <w:r>
              <w:rPr>
                <w:rFonts w:ascii="宋体" w:hAnsi="宋体" w:eastAsia="宋体"/>
                <w:color w:val="auto"/>
                <w:sz w:val="18"/>
                <w:szCs w:val="18"/>
                <w:highlight w:val="none"/>
              </w:rPr>
              <w:t>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50028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（二）专项转移支付收入</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51760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214、交通运输支出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1500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（三）债券转贷收入</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20509</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车辆通行费</w:t>
            </w:r>
            <w:r>
              <w:rPr>
                <w:rFonts w:ascii="宋体" w:hAnsi="宋体" w:eastAsia="宋体"/>
                <w:color w:val="auto"/>
                <w:sz w:val="18"/>
                <w:szCs w:val="18"/>
                <w:highlight w:val="none"/>
              </w:rPr>
              <w:t>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1500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229、其它支出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1119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彩票公益金安排的支出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1119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232、债务付息支出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8101</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地方政府专项债务付息支出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8101</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二</w:t>
            </w:r>
            <w:r>
              <w:rPr>
                <w:rFonts w:ascii="宋体" w:hAnsi="宋体" w:eastAsia="宋体"/>
                <w:color w:val="auto"/>
                <w:sz w:val="18"/>
                <w:szCs w:val="18"/>
                <w:highlight w:val="none"/>
              </w:rPr>
              <w:t>、</w:t>
            </w:r>
            <w:r>
              <w:rPr>
                <w:rFonts w:hint="eastAsia" w:ascii="宋体" w:hAnsi="宋体" w:eastAsia="宋体"/>
                <w:color w:val="auto"/>
                <w:sz w:val="18"/>
                <w:szCs w:val="18"/>
                <w:highlight w:val="none"/>
              </w:rPr>
              <w:t>债务</w:t>
            </w:r>
            <w:r>
              <w:rPr>
                <w:rFonts w:ascii="宋体" w:hAnsi="宋体" w:eastAsia="宋体"/>
                <w:color w:val="auto"/>
                <w:sz w:val="18"/>
                <w:szCs w:val="18"/>
                <w:highlight w:val="none"/>
              </w:rPr>
              <w:t>还本支出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54952</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eastAsia="宋体" w:cs="宋体"/>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rPr>
              <w:t>三、调出资金</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收入合计</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171532</w:t>
            </w:r>
          </w:p>
        </w:tc>
        <w:tc>
          <w:tcPr>
            <w:tcW w:w="327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支出合计</w:t>
            </w:r>
          </w:p>
        </w:tc>
        <w:tc>
          <w:tcPr>
            <w:tcW w:w="1440"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171532</w:t>
            </w:r>
          </w:p>
        </w:tc>
      </w:tr>
    </w:tbl>
    <w:p>
      <w:pPr>
        <w:rPr>
          <w:rFonts w:hint="eastAsia" w:ascii="黑体" w:hAnsi="黑体" w:eastAsia="黑体" w:cs="宋体"/>
          <w:color w:val="auto"/>
          <w:kern w:val="0"/>
          <w:sz w:val="36"/>
          <w:szCs w:val="36"/>
          <w:highlight w:val="none"/>
          <w:lang w:val="en-US" w:eastAsia="zh-CN"/>
        </w:rPr>
      </w:pPr>
    </w:p>
    <w:p>
      <w:pPr>
        <w:rPr>
          <w:rFonts w:ascii="黑体" w:hAnsi="黑体" w:eastAsia="黑体" w:cs="宋体"/>
          <w:color w:val="auto"/>
          <w:kern w:val="0"/>
          <w:sz w:val="32"/>
          <w:szCs w:val="32"/>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3</w:t>
      </w:r>
      <w:r>
        <w:rPr>
          <w:rFonts w:hint="eastAsia" w:ascii="黑体" w:hAnsi="黑体" w:eastAsia="黑体" w:cs="宋体"/>
          <w:color w:val="auto"/>
          <w:kern w:val="0"/>
          <w:sz w:val="36"/>
          <w:szCs w:val="36"/>
          <w:highlight w:val="none"/>
        </w:rPr>
        <w:t xml:space="preserve"> </w:t>
      </w:r>
    </w:p>
    <w:p>
      <w:pPr>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社会保险基金预算（草案）计划表</w:t>
      </w:r>
    </w:p>
    <w:p>
      <w:pPr>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680"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一、本年收入</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eastAsia="宋体" w:cs="Tahoma"/>
                <w:color w:val="auto"/>
                <w:sz w:val="18"/>
                <w:szCs w:val="18"/>
                <w:highlight w:val="none"/>
                <w:lang w:val="en-US" w:eastAsia="zh-CN"/>
              </w:rPr>
              <w:t>63039</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一、本年支出</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cs="Tahoma"/>
                <w:color w:val="auto"/>
                <w:sz w:val="18"/>
                <w:szCs w:val="18"/>
                <w:highlight w:val="none"/>
                <w:lang w:val="en-US" w:eastAsia="zh-CN"/>
              </w:rPr>
              <w:t>56938</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企业职工基本养老保险基金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企业职工基本养老保险基金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城乡居民基本养老保险基金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ascii="宋体" w:hAnsi="宋体" w:eastAsia="宋体" w:cs="Tahoma"/>
                <w:color w:val="auto"/>
                <w:sz w:val="18"/>
                <w:szCs w:val="18"/>
                <w:highlight w:val="none"/>
              </w:rPr>
              <w:t>1</w:t>
            </w:r>
            <w:r>
              <w:rPr>
                <w:rFonts w:hint="eastAsia" w:ascii="宋体" w:hAnsi="宋体" w:eastAsia="宋体" w:cs="Tahoma"/>
                <w:color w:val="auto"/>
                <w:sz w:val="18"/>
                <w:szCs w:val="18"/>
                <w:highlight w:val="none"/>
                <w:lang w:val="en-US" w:eastAsia="zh-CN"/>
              </w:rPr>
              <w:t>4586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城乡居民基本养老保险基金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11344</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城镇职工基本医疗保险基金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14073</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城镇职工基本医疗保险基金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11215</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居民基本医疗保险基金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居民基本医疗保险基金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工伤保险基金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Tahoma"/>
                <w:color w:val="auto"/>
                <w:sz w:val="18"/>
                <w:szCs w:val="18"/>
                <w:highlight w:val="none"/>
                <w:lang w:eastAsia="zh-CN"/>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工伤保险基金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Tahoma"/>
                <w:color w:val="auto"/>
                <w:sz w:val="18"/>
                <w:szCs w:val="18"/>
                <w:highlight w:val="none"/>
                <w:lang w:eastAsia="zh-CN"/>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失业保险基金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1464</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失业保险基金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1463</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机关事业养老保险基金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32916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机关事业养老保险基金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32916</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bCs/>
                <w:color w:val="auto"/>
                <w:kern w:val="0"/>
                <w:sz w:val="18"/>
                <w:szCs w:val="18"/>
                <w:highlight w:val="none"/>
              </w:rPr>
              <w:t>二、历年滚存结余</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46262</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Tahoma"/>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Tahoma"/>
                <w:color w:val="auto"/>
                <w:kern w:val="0"/>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收入合计</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109301</w:t>
            </w: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支出合计</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cs="Tahoma"/>
                <w:color w:val="auto"/>
                <w:sz w:val="18"/>
                <w:szCs w:val="18"/>
                <w:highlight w:val="none"/>
                <w:lang w:val="en-US" w:eastAsia="zh-CN"/>
              </w:rPr>
              <w:t>56938</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　</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　</w:t>
            </w: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结转下年</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52363</w:t>
            </w:r>
          </w:p>
        </w:tc>
      </w:tr>
    </w:tbl>
    <w:p>
      <w:pPr>
        <w:pStyle w:val="5"/>
        <w:ind w:left="0" w:leftChars="0" w:firstLine="0" w:firstLineChars="0"/>
        <w:rPr>
          <w:color w:val="auto"/>
          <w:highlight w:val="none"/>
        </w:rPr>
      </w:pPr>
    </w:p>
    <w:p>
      <w:pPr>
        <w:rPr>
          <w:color w:val="auto"/>
          <w:highlight w:val="none"/>
        </w:rPr>
      </w:pPr>
    </w:p>
    <w:p>
      <w:pPr>
        <w:pStyle w:val="5"/>
        <w:rPr>
          <w:color w:val="auto"/>
          <w:highlight w:val="none"/>
        </w:rPr>
      </w:pPr>
    </w:p>
    <w:p>
      <w:pPr>
        <w:rPr>
          <w:rFonts w:ascii="黑体" w:hAnsi="黑体" w:eastAsia="黑体" w:cs="宋体"/>
          <w:color w:val="auto"/>
          <w:kern w:val="0"/>
          <w:sz w:val="32"/>
          <w:szCs w:val="32"/>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4</w:t>
      </w:r>
      <w:r>
        <w:rPr>
          <w:rFonts w:hint="eastAsia" w:ascii="黑体" w:hAnsi="黑体" w:eastAsia="黑体" w:cs="宋体"/>
          <w:color w:val="auto"/>
          <w:kern w:val="0"/>
          <w:sz w:val="36"/>
          <w:szCs w:val="36"/>
          <w:highlight w:val="none"/>
        </w:rPr>
        <w:t xml:space="preserve"> </w:t>
      </w:r>
    </w:p>
    <w:p>
      <w:pPr>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国有</w:t>
      </w:r>
      <w:r>
        <w:rPr>
          <w:rFonts w:ascii="方正小标宋简体" w:eastAsia="方正小标宋简体"/>
          <w:color w:val="auto"/>
          <w:sz w:val="36"/>
          <w:szCs w:val="36"/>
          <w:highlight w:val="none"/>
        </w:rPr>
        <w:t>资本经营</w:t>
      </w:r>
      <w:r>
        <w:rPr>
          <w:rFonts w:hint="eastAsia" w:ascii="方正小标宋简体" w:eastAsia="方正小标宋简体"/>
          <w:color w:val="auto"/>
          <w:sz w:val="36"/>
          <w:szCs w:val="36"/>
          <w:highlight w:val="none"/>
        </w:rPr>
        <w:t>预算（草案）计划表</w:t>
      </w:r>
    </w:p>
    <w:p>
      <w:pPr>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680"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06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62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一、本年收入</w:t>
            </w:r>
          </w:p>
        </w:tc>
        <w:tc>
          <w:tcPr>
            <w:tcW w:w="1440" w:type="dxa"/>
            <w:tcBorders>
              <w:top w:val="nil"/>
              <w:left w:val="nil"/>
              <w:bottom w:val="single" w:color="auto" w:sz="4" w:space="0"/>
              <w:right w:val="single" w:color="auto" w:sz="4" w:space="0"/>
            </w:tcBorders>
            <w:noWrap w:val="0"/>
            <w:vAlign w:val="center"/>
          </w:tcPr>
          <w:p>
            <w:pPr>
              <w:widowControl/>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685</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一、本年支出</w:t>
            </w:r>
          </w:p>
        </w:tc>
        <w:tc>
          <w:tcPr>
            <w:tcW w:w="162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469</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利润收入</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447</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解决</w:t>
            </w:r>
            <w:r>
              <w:rPr>
                <w:rFonts w:ascii="宋体" w:hAnsi="宋体" w:cs="宋体"/>
                <w:color w:val="auto"/>
                <w:kern w:val="0"/>
                <w:sz w:val="18"/>
                <w:szCs w:val="18"/>
                <w:highlight w:val="none"/>
              </w:rPr>
              <w:t>历史遗留及改革成本支出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股利、</w:t>
            </w:r>
            <w:r>
              <w:rPr>
                <w:rFonts w:ascii="宋体" w:hAnsi="宋体" w:cs="宋体"/>
                <w:color w:val="auto"/>
                <w:kern w:val="0"/>
                <w:sz w:val="18"/>
                <w:szCs w:val="18"/>
                <w:highlight w:val="none"/>
              </w:rPr>
              <w:t>利息收入</w:t>
            </w:r>
          </w:p>
        </w:tc>
        <w:tc>
          <w:tcPr>
            <w:tcW w:w="1440" w:type="dxa"/>
            <w:tcBorders>
              <w:top w:val="nil"/>
              <w:left w:val="nil"/>
              <w:bottom w:val="single" w:color="auto" w:sz="4" w:space="0"/>
              <w:right w:val="single" w:color="auto" w:sz="4" w:space="0"/>
            </w:tcBorders>
            <w:noWrap/>
            <w:vAlign w:val="center"/>
          </w:tcPr>
          <w:p>
            <w:pPr>
              <w:widowControl/>
              <w:jc w:val="center"/>
              <w:rPr>
                <w:rFonts w:hint="default"/>
                <w:color w:val="auto"/>
                <w:highlight w:val="none"/>
                <w:lang w:val="en-US" w:eastAsia="zh-CN"/>
              </w:rPr>
            </w:pPr>
            <w:r>
              <w:rPr>
                <w:rFonts w:hint="eastAsia" w:ascii="宋体" w:hAnsi="宋体" w:eastAsia="宋体" w:cs="宋体"/>
                <w:color w:val="auto"/>
                <w:kern w:val="0"/>
                <w:sz w:val="18"/>
                <w:szCs w:val="18"/>
                <w:highlight w:val="none"/>
                <w:lang w:val="en-US" w:eastAsia="zh-CN"/>
              </w:rPr>
              <w:t>238</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国有</w:t>
            </w:r>
            <w:r>
              <w:rPr>
                <w:rFonts w:ascii="宋体" w:hAnsi="宋体" w:cs="宋体"/>
                <w:color w:val="auto"/>
                <w:kern w:val="0"/>
                <w:sz w:val="18"/>
                <w:szCs w:val="18"/>
                <w:highlight w:val="none"/>
              </w:rPr>
              <w:t>企业资本金注入</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372</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产权转让</w:t>
            </w:r>
            <w:r>
              <w:rPr>
                <w:rFonts w:ascii="宋体" w:hAnsi="宋体" w:cs="宋体"/>
                <w:color w:val="auto"/>
                <w:kern w:val="0"/>
                <w:sz w:val="18"/>
                <w:szCs w:val="18"/>
                <w:highlight w:val="none"/>
              </w:rPr>
              <w:t>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国有</w:t>
            </w:r>
            <w:r>
              <w:rPr>
                <w:rFonts w:ascii="宋体" w:hAnsi="宋体" w:cs="宋体"/>
                <w:color w:val="auto"/>
                <w:kern w:val="0"/>
                <w:sz w:val="18"/>
                <w:szCs w:val="18"/>
                <w:highlight w:val="none"/>
              </w:rPr>
              <w:t>企业政策性</w:t>
            </w:r>
            <w:r>
              <w:rPr>
                <w:rFonts w:hint="eastAsia" w:ascii="宋体" w:hAnsi="宋体" w:cs="宋体"/>
                <w:color w:val="auto"/>
                <w:kern w:val="0"/>
                <w:sz w:val="18"/>
                <w:szCs w:val="18"/>
                <w:highlight w:val="none"/>
              </w:rPr>
              <w:t>补贴</w:t>
            </w: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清算收入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金融</w:t>
            </w:r>
            <w:r>
              <w:rPr>
                <w:rFonts w:ascii="宋体" w:hAnsi="宋体" w:cs="宋体"/>
                <w:color w:val="auto"/>
                <w:kern w:val="0"/>
                <w:sz w:val="18"/>
                <w:szCs w:val="18"/>
                <w:highlight w:val="none"/>
              </w:rPr>
              <w:t>国有资本经营预算支出</w:t>
            </w: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其他国有</w:t>
            </w:r>
            <w:r>
              <w:rPr>
                <w:rFonts w:ascii="宋体" w:hAnsi="宋体" w:cs="宋体"/>
                <w:color w:val="auto"/>
                <w:kern w:val="0"/>
                <w:sz w:val="18"/>
                <w:szCs w:val="18"/>
                <w:highlight w:val="none"/>
              </w:rPr>
              <w:t>资本经营收入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其他</w:t>
            </w:r>
            <w:r>
              <w:rPr>
                <w:rFonts w:ascii="宋体" w:hAnsi="宋体" w:cs="宋体"/>
                <w:color w:val="auto"/>
                <w:kern w:val="0"/>
                <w:sz w:val="18"/>
                <w:szCs w:val="18"/>
                <w:highlight w:val="none"/>
              </w:rPr>
              <w:t>国有资本经营预算支出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75</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二、转移性</w:t>
            </w:r>
            <w:r>
              <w:rPr>
                <w:rFonts w:ascii="宋体" w:hAnsi="宋体" w:cs="宋体"/>
                <w:bCs/>
                <w:color w:val="auto"/>
                <w:kern w:val="0"/>
                <w:sz w:val="18"/>
                <w:szCs w:val="18"/>
                <w:highlight w:val="none"/>
              </w:rPr>
              <w:t>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w:t>
            </w:r>
            <w:r>
              <w:rPr>
                <w:rFonts w:ascii="宋体" w:hAnsi="宋体" w:cs="宋体"/>
                <w:color w:val="auto"/>
                <w:kern w:val="0"/>
                <w:sz w:val="18"/>
                <w:szCs w:val="18"/>
                <w:highlight w:val="none"/>
              </w:rPr>
              <w:t>、转移性支出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238</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三</w:t>
            </w:r>
            <w:r>
              <w:rPr>
                <w:rFonts w:ascii="宋体" w:hAnsi="宋体" w:cs="宋体"/>
                <w:color w:val="auto"/>
                <w:kern w:val="0"/>
                <w:sz w:val="18"/>
                <w:szCs w:val="18"/>
                <w:highlight w:val="none"/>
              </w:rPr>
              <w:t>、上年结转</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调出</w:t>
            </w:r>
            <w:r>
              <w:rPr>
                <w:rFonts w:ascii="宋体" w:hAnsi="宋体" w:cs="宋体"/>
                <w:color w:val="auto"/>
                <w:kern w:val="0"/>
                <w:sz w:val="18"/>
                <w:szCs w:val="18"/>
                <w:highlight w:val="none"/>
              </w:rPr>
              <w:t>资金</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238</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收入合计</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707</w:t>
            </w:r>
          </w:p>
        </w:tc>
        <w:tc>
          <w:tcPr>
            <w:tcW w:w="3060" w:type="dxa"/>
            <w:tcBorders>
              <w:top w:val="nil"/>
              <w:left w:val="nil"/>
              <w:bottom w:val="single" w:color="auto" w:sz="4" w:space="0"/>
              <w:right w:val="single" w:color="auto" w:sz="4" w:space="0"/>
            </w:tcBorders>
            <w:noWrap/>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支出合计</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707</w:t>
            </w:r>
          </w:p>
        </w:tc>
      </w:tr>
    </w:tbl>
    <w:p>
      <w:pPr>
        <w:rPr>
          <w:color w:val="auto"/>
          <w:highlight w:val="none"/>
        </w:rPr>
      </w:pPr>
    </w:p>
    <w:sectPr>
      <w:headerReference r:id="rId3" w:type="default"/>
      <w:footerReference r:id="rId4" w:type="default"/>
      <w:pgSz w:w="11906" w:h="16838"/>
      <w:pgMar w:top="1701" w:right="1474" w:bottom="1701" w:left="1531" w:header="1021" w:footer="136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50382301"/>
                          </w:sdtPr>
                          <w:sdtEndPr>
                            <w:rPr>
                              <w:sz w:val="28"/>
                              <w:szCs w:val="28"/>
                            </w:rPr>
                          </w:sdtEndPr>
                          <w:sdtContent>
                            <w:p>
                              <w:pPr>
                                <w:pStyle w:val="7"/>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22 -</w:t>
                              </w:r>
                              <w:r>
                                <w:rPr>
                                  <w:sz w:val="28"/>
                                  <w:szCs w:val="28"/>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350382301"/>
                    </w:sdtPr>
                    <w:sdtEndPr>
                      <w:rPr>
                        <w:sz w:val="28"/>
                        <w:szCs w:val="28"/>
                      </w:rPr>
                    </w:sdtEndPr>
                    <w:sdtContent>
                      <w:p>
                        <w:pPr>
                          <w:pStyle w:val="7"/>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22 -</w:t>
                        </w:r>
                        <w:r>
                          <w:rPr>
                            <w:sz w:val="28"/>
                            <w:szCs w:val="28"/>
                          </w:rPr>
                          <w:fldChar w:fldCharType="end"/>
                        </w:r>
                      </w:p>
                    </w:sdtContent>
                  </w:sdt>
                  <w:p>
                    <w:pPr>
                      <w:pStyle w:val="2"/>
                    </w:pPr>
                  </w:p>
                </w:txbxContent>
              </v:textbox>
            </v:shape>
          </w:pict>
        </mc:Fallback>
      </mc:AlternateContent>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kMTdjMTUwYmE3NDdkNGYxYTQ4YTcwZmU4OGM2Y2UifQ=="/>
  </w:docVars>
  <w:rsids>
    <w:rsidRoot w:val="24D05C3C"/>
    <w:rsid w:val="00020616"/>
    <w:rsid w:val="00022012"/>
    <w:rsid w:val="00027DC2"/>
    <w:rsid w:val="00042CEE"/>
    <w:rsid w:val="00045783"/>
    <w:rsid w:val="000534FF"/>
    <w:rsid w:val="0005528A"/>
    <w:rsid w:val="000743CD"/>
    <w:rsid w:val="000745E7"/>
    <w:rsid w:val="000844F2"/>
    <w:rsid w:val="00087112"/>
    <w:rsid w:val="0008720B"/>
    <w:rsid w:val="00091741"/>
    <w:rsid w:val="000B3E80"/>
    <w:rsid w:val="000D2328"/>
    <w:rsid w:val="000E2A1F"/>
    <w:rsid w:val="000F3F28"/>
    <w:rsid w:val="00105501"/>
    <w:rsid w:val="001141A7"/>
    <w:rsid w:val="0013071E"/>
    <w:rsid w:val="00130C6C"/>
    <w:rsid w:val="0013747F"/>
    <w:rsid w:val="0014022C"/>
    <w:rsid w:val="001436CE"/>
    <w:rsid w:val="0014643B"/>
    <w:rsid w:val="0015012D"/>
    <w:rsid w:val="00151A95"/>
    <w:rsid w:val="00152500"/>
    <w:rsid w:val="00153A8F"/>
    <w:rsid w:val="00160C9E"/>
    <w:rsid w:val="00165530"/>
    <w:rsid w:val="0017055F"/>
    <w:rsid w:val="001722F5"/>
    <w:rsid w:val="001725FA"/>
    <w:rsid w:val="0017410B"/>
    <w:rsid w:val="00174855"/>
    <w:rsid w:val="0018151B"/>
    <w:rsid w:val="001826BD"/>
    <w:rsid w:val="00196C7A"/>
    <w:rsid w:val="001A0D30"/>
    <w:rsid w:val="001A2968"/>
    <w:rsid w:val="001C6F14"/>
    <w:rsid w:val="001E2CE1"/>
    <w:rsid w:val="001E40D4"/>
    <w:rsid w:val="001E54B1"/>
    <w:rsid w:val="001F3700"/>
    <w:rsid w:val="0020775A"/>
    <w:rsid w:val="00207852"/>
    <w:rsid w:val="00220169"/>
    <w:rsid w:val="00221F01"/>
    <w:rsid w:val="0022771E"/>
    <w:rsid w:val="002306E7"/>
    <w:rsid w:val="0023329B"/>
    <w:rsid w:val="0025007B"/>
    <w:rsid w:val="0025020D"/>
    <w:rsid w:val="0025287C"/>
    <w:rsid w:val="00256FFC"/>
    <w:rsid w:val="002630FD"/>
    <w:rsid w:val="0026519E"/>
    <w:rsid w:val="0026547E"/>
    <w:rsid w:val="002677BF"/>
    <w:rsid w:val="00274341"/>
    <w:rsid w:val="00275021"/>
    <w:rsid w:val="00287453"/>
    <w:rsid w:val="00291DD2"/>
    <w:rsid w:val="00297C26"/>
    <w:rsid w:val="002A64F4"/>
    <w:rsid w:val="002B2838"/>
    <w:rsid w:val="002C2157"/>
    <w:rsid w:val="002C3007"/>
    <w:rsid w:val="002E1C28"/>
    <w:rsid w:val="002E70D1"/>
    <w:rsid w:val="002F6157"/>
    <w:rsid w:val="00304A70"/>
    <w:rsid w:val="00307062"/>
    <w:rsid w:val="00310A4E"/>
    <w:rsid w:val="00316865"/>
    <w:rsid w:val="0033571C"/>
    <w:rsid w:val="00344D32"/>
    <w:rsid w:val="00347A45"/>
    <w:rsid w:val="00347BFC"/>
    <w:rsid w:val="00351CF0"/>
    <w:rsid w:val="003521A9"/>
    <w:rsid w:val="00362CC9"/>
    <w:rsid w:val="00373AA7"/>
    <w:rsid w:val="0037402B"/>
    <w:rsid w:val="003767C6"/>
    <w:rsid w:val="003814FC"/>
    <w:rsid w:val="00382D7E"/>
    <w:rsid w:val="0038537E"/>
    <w:rsid w:val="003A09D6"/>
    <w:rsid w:val="003A1F31"/>
    <w:rsid w:val="003A2090"/>
    <w:rsid w:val="003B2670"/>
    <w:rsid w:val="003B643A"/>
    <w:rsid w:val="003B7CF4"/>
    <w:rsid w:val="003D4B1E"/>
    <w:rsid w:val="003E38B6"/>
    <w:rsid w:val="003E6FD0"/>
    <w:rsid w:val="003F772F"/>
    <w:rsid w:val="004154BA"/>
    <w:rsid w:val="004263BD"/>
    <w:rsid w:val="00431CB3"/>
    <w:rsid w:val="00432F6D"/>
    <w:rsid w:val="00436074"/>
    <w:rsid w:val="0044051B"/>
    <w:rsid w:val="00440BD8"/>
    <w:rsid w:val="00455131"/>
    <w:rsid w:val="00465723"/>
    <w:rsid w:val="00477B96"/>
    <w:rsid w:val="00494A14"/>
    <w:rsid w:val="0049583E"/>
    <w:rsid w:val="0049655A"/>
    <w:rsid w:val="004A00F3"/>
    <w:rsid w:val="004A11B4"/>
    <w:rsid w:val="004A365F"/>
    <w:rsid w:val="004A3BFF"/>
    <w:rsid w:val="004A7ABA"/>
    <w:rsid w:val="004B5545"/>
    <w:rsid w:val="004B58EA"/>
    <w:rsid w:val="004B5C34"/>
    <w:rsid w:val="004C187D"/>
    <w:rsid w:val="004D3C10"/>
    <w:rsid w:val="004E1AAC"/>
    <w:rsid w:val="004E72C7"/>
    <w:rsid w:val="004F55ED"/>
    <w:rsid w:val="004F6E90"/>
    <w:rsid w:val="00500EE9"/>
    <w:rsid w:val="005039F6"/>
    <w:rsid w:val="00504250"/>
    <w:rsid w:val="0052283D"/>
    <w:rsid w:val="00531829"/>
    <w:rsid w:val="00532763"/>
    <w:rsid w:val="005518A9"/>
    <w:rsid w:val="00557AE1"/>
    <w:rsid w:val="005708E9"/>
    <w:rsid w:val="00574120"/>
    <w:rsid w:val="00574557"/>
    <w:rsid w:val="005932D6"/>
    <w:rsid w:val="00593678"/>
    <w:rsid w:val="005A5E67"/>
    <w:rsid w:val="005D1127"/>
    <w:rsid w:val="005D7D6C"/>
    <w:rsid w:val="005E06B6"/>
    <w:rsid w:val="005E1E52"/>
    <w:rsid w:val="005F16DF"/>
    <w:rsid w:val="006067E9"/>
    <w:rsid w:val="00612A6C"/>
    <w:rsid w:val="00612F65"/>
    <w:rsid w:val="00614D61"/>
    <w:rsid w:val="00632BC8"/>
    <w:rsid w:val="006355FB"/>
    <w:rsid w:val="00636DF3"/>
    <w:rsid w:val="006477B4"/>
    <w:rsid w:val="006545A9"/>
    <w:rsid w:val="00656DF9"/>
    <w:rsid w:val="00675AF2"/>
    <w:rsid w:val="006859F1"/>
    <w:rsid w:val="00690862"/>
    <w:rsid w:val="00691094"/>
    <w:rsid w:val="006B6469"/>
    <w:rsid w:val="006C09A5"/>
    <w:rsid w:val="006C3BB4"/>
    <w:rsid w:val="006E7464"/>
    <w:rsid w:val="00705D29"/>
    <w:rsid w:val="00710A83"/>
    <w:rsid w:val="00711E8E"/>
    <w:rsid w:val="00730231"/>
    <w:rsid w:val="00735E7B"/>
    <w:rsid w:val="0075125B"/>
    <w:rsid w:val="00761B62"/>
    <w:rsid w:val="00761E34"/>
    <w:rsid w:val="00764625"/>
    <w:rsid w:val="00773916"/>
    <w:rsid w:val="0077519A"/>
    <w:rsid w:val="007858FB"/>
    <w:rsid w:val="00787E30"/>
    <w:rsid w:val="00791E0C"/>
    <w:rsid w:val="007A6B72"/>
    <w:rsid w:val="007B6802"/>
    <w:rsid w:val="007C05AC"/>
    <w:rsid w:val="007C3CB7"/>
    <w:rsid w:val="007C6B69"/>
    <w:rsid w:val="007D6F71"/>
    <w:rsid w:val="007F5CAF"/>
    <w:rsid w:val="00800CAC"/>
    <w:rsid w:val="00804B55"/>
    <w:rsid w:val="00815034"/>
    <w:rsid w:val="00827FA3"/>
    <w:rsid w:val="0083445C"/>
    <w:rsid w:val="0085541B"/>
    <w:rsid w:val="0086782E"/>
    <w:rsid w:val="00870557"/>
    <w:rsid w:val="008832AB"/>
    <w:rsid w:val="008A1D4B"/>
    <w:rsid w:val="008A26D1"/>
    <w:rsid w:val="008B3C26"/>
    <w:rsid w:val="008C2FE4"/>
    <w:rsid w:val="008C49D9"/>
    <w:rsid w:val="008E5B1C"/>
    <w:rsid w:val="00904F5B"/>
    <w:rsid w:val="00910A8F"/>
    <w:rsid w:val="009163E1"/>
    <w:rsid w:val="00922792"/>
    <w:rsid w:val="00925A53"/>
    <w:rsid w:val="00934F51"/>
    <w:rsid w:val="00936B59"/>
    <w:rsid w:val="00940F41"/>
    <w:rsid w:val="00941597"/>
    <w:rsid w:val="00945385"/>
    <w:rsid w:val="00950758"/>
    <w:rsid w:val="00951FEE"/>
    <w:rsid w:val="009601DF"/>
    <w:rsid w:val="00960E26"/>
    <w:rsid w:val="0096437E"/>
    <w:rsid w:val="00972088"/>
    <w:rsid w:val="0097299F"/>
    <w:rsid w:val="00976793"/>
    <w:rsid w:val="00992644"/>
    <w:rsid w:val="00997EE9"/>
    <w:rsid w:val="009A5868"/>
    <w:rsid w:val="009D4287"/>
    <w:rsid w:val="009D42B9"/>
    <w:rsid w:val="009D7E98"/>
    <w:rsid w:val="009E28C0"/>
    <w:rsid w:val="009E3A8D"/>
    <w:rsid w:val="009E4165"/>
    <w:rsid w:val="009E4ECA"/>
    <w:rsid w:val="009E6B6A"/>
    <w:rsid w:val="009E7B35"/>
    <w:rsid w:val="009F3063"/>
    <w:rsid w:val="00A02F4D"/>
    <w:rsid w:val="00A214CA"/>
    <w:rsid w:val="00A241D8"/>
    <w:rsid w:val="00A55A31"/>
    <w:rsid w:val="00A6263A"/>
    <w:rsid w:val="00A67708"/>
    <w:rsid w:val="00A67DBF"/>
    <w:rsid w:val="00A77685"/>
    <w:rsid w:val="00A8287A"/>
    <w:rsid w:val="00A8373D"/>
    <w:rsid w:val="00A953A1"/>
    <w:rsid w:val="00A954A4"/>
    <w:rsid w:val="00AA099C"/>
    <w:rsid w:val="00AA4EEA"/>
    <w:rsid w:val="00AB2F95"/>
    <w:rsid w:val="00AB4012"/>
    <w:rsid w:val="00AC62A4"/>
    <w:rsid w:val="00AD5F42"/>
    <w:rsid w:val="00B02D9A"/>
    <w:rsid w:val="00B06BFC"/>
    <w:rsid w:val="00B10507"/>
    <w:rsid w:val="00B25CBA"/>
    <w:rsid w:val="00B26AF6"/>
    <w:rsid w:val="00B31AD7"/>
    <w:rsid w:val="00B5188F"/>
    <w:rsid w:val="00B56758"/>
    <w:rsid w:val="00B570B7"/>
    <w:rsid w:val="00B66581"/>
    <w:rsid w:val="00B80A2E"/>
    <w:rsid w:val="00B87EF6"/>
    <w:rsid w:val="00B959C8"/>
    <w:rsid w:val="00BA67B6"/>
    <w:rsid w:val="00BC1E36"/>
    <w:rsid w:val="00BC3B79"/>
    <w:rsid w:val="00BC7C47"/>
    <w:rsid w:val="00BE0DE2"/>
    <w:rsid w:val="00BE3ABA"/>
    <w:rsid w:val="00BF706B"/>
    <w:rsid w:val="00C00096"/>
    <w:rsid w:val="00C10EB1"/>
    <w:rsid w:val="00C150E4"/>
    <w:rsid w:val="00C16723"/>
    <w:rsid w:val="00C305EA"/>
    <w:rsid w:val="00C357AF"/>
    <w:rsid w:val="00C35A6B"/>
    <w:rsid w:val="00C4615A"/>
    <w:rsid w:val="00C46DFD"/>
    <w:rsid w:val="00C51CEE"/>
    <w:rsid w:val="00C604C3"/>
    <w:rsid w:val="00C6338D"/>
    <w:rsid w:val="00C6664C"/>
    <w:rsid w:val="00C72209"/>
    <w:rsid w:val="00C73E19"/>
    <w:rsid w:val="00C84507"/>
    <w:rsid w:val="00C9267B"/>
    <w:rsid w:val="00CA6874"/>
    <w:rsid w:val="00CB7252"/>
    <w:rsid w:val="00CB74CA"/>
    <w:rsid w:val="00CB77BE"/>
    <w:rsid w:val="00CC4E97"/>
    <w:rsid w:val="00CC4FBF"/>
    <w:rsid w:val="00CD73EA"/>
    <w:rsid w:val="00CE04A6"/>
    <w:rsid w:val="00CF7468"/>
    <w:rsid w:val="00D0041A"/>
    <w:rsid w:val="00D21CB6"/>
    <w:rsid w:val="00D246BE"/>
    <w:rsid w:val="00D25C2E"/>
    <w:rsid w:val="00D31BC2"/>
    <w:rsid w:val="00D366D4"/>
    <w:rsid w:val="00D45511"/>
    <w:rsid w:val="00D54F61"/>
    <w:rsid w:val="00D576A4"/>
    <w:rsid w:val="00D60876"/>
    <w:rsid w:val="00D61883"/>
    <w:rsid w:val="00D6559E"/>
    <w:rsid w:val="00D87188"/>
    <w:rsid w:val="00D94544"/>
    <w:rsid w:val="00DB18E1"/>
    <w:rsid w:val="00DC280C"/>
    <w:rsid w:val="00DD1FB6"/>
    <w:rsid w:val="00DD2325"/>
    <w:rsid w:val="00DE4B96"/>
    <w:rsid w:val="00DE619B"/>
    <w:rsid w:val="00DF10EF"/>
    <w:rsid w:val="00DF3C97"/>
    <w:rsid w:val="00DF4860"/>
    <w:rsid w:val="00DF7E4D"/>
    <w:rsid w:val="00E2387C"/>
    <w:rsid w:val="00E27866"/>
    <w:rsid w:val="00E30D93"/>
    <w:rsid w:val="00E5042F"/>
    <w:rsid w:val="00E50EBF"/>
    <w:rsid w:val="00E76D6F"/>
    <w:rsid w:val="00E83A50"/>
    <w:rsid w:val="00E867A3"/>
    <w:rsid w:val="00E94EC6"/>
    <w:rsid w:val="00EA1382"/>
    <w:rsid w:val="00EA25BF"/>
    <w:rsid w:val="00EB496D"/>
    <w:rsid w:val="00EC2B02"/>
    <w:rsid w:val="00EC531A"/>
    <w:rsid w:val="00ED3BD8"/>
    <w:rsid w:val="00EE134C"/>
    <w:rsid w:val="00EE162E"/>
    <w:rsid w:val="00EE2E00"/>
    <w:rsid w:val="00EE4E73"/>
    <w:rsid w:val="00EF08FA"/>
    <w:rsid w:val="00EF6E59"/>
    <w:rsid w:val="00F01DA0"/>
    <w:rsid w:val="00F140AA"/>
    <w:rsid w:val="00F35161"/>
    <w:rsid w:val="00F42926"/>
    <w:rsid w:val="00F42E84"/>
    <w:rsid w:val="00F57B5C"/>
    <w:rsid w:val="00F661BD"/>
    <w:rsid w:val="00F67FC0"/>
    <w:rsid w:val="00F703E8"/>
    <w:rsid w:val="00F76B6E"/>
    <w:rsid w:val="00F856D8"/>
    <w:rsid w:val="00F927E7"/>
    <w:rsid w:val="00F9281F"/>
    <w:rsid w:val="00FA02F3"/>
    <w:rsid w:val="00FA27EB"/>
    <w:rsid w:val="00FB1BAD"/>
    <w:rsid w:val="00FB6408"/>
    <w:rsid w:val="00FC049C"/>
    <w:rsid w:val="00FC10C9"/>
    <w:rsid w:val="00FC1E7C"/>
    <w:rsid w:val="00FC6311"/>
    <w:rsid w:val="00FD5BD9"/>
    <w:rsid w:val="00FE2BB0"/>
    <w:rsid w:val="00FE6042"/>
    <w:rsid w:val="00FF690A"/>
    <w:rsid w:val="00FF7D6F"/>
    <w:rsid w:val="010C27DA"/>
    <w:rsid w:val="01166364"/>
    <w:rsid w:val="014C4DA3"/>
    <w:rsid w:val="0157619E"/>
    <w:rsid w:val="018E19BE"/>
    <w:rsid w:val="018E53BB"/>
    <w:rsid w:val="01973B44"/>
    <w:rsid w:val="01982038"/>
    <w:rsid w:val="019C1EEA"/>
    <w:rsid w:val="019D537C"/>
    <w:rsid w:val="01AE3368"/>
    <w:rsid w:val="01C32E7A"/>
    <w:rsid w:val="01C54B55"/>
    <w:rsid w:val="01F176F8"/>
    <w:rsid w:val="01FD7E4B"/>
    <w:rsid w:val="0204742C"/>
    <w:rsid w:val="020D728E"/>
    <w:rsid w:val="0213766F"/>
    <w:rsid w:val="021D229B"/>
    <w:rsid w:val="022A4754"/>
    <w:rsid w:val="02375428"/>
    <w:rsid w:val="02380E83"/>
    <w:rsid w:val="023B4E4C"/>
    <w:rsid w:val="024837DC"/>
    <w:rsid w:val="024B505A"/>
    <w:rsid w:val="024C3EEC"/>
    <w:rsid w:val="02535CBD"/>
    <w:rsid w:val="025F28B4"/>
    <w:rsid w:val="0268098B"/>
    <w:rsid w:val="02714395"/>
    <w:rsid w:val="02755FB4"/>
    <w:rsid w:val="027D71DE"/>
    <w:rsid w:val="028062B7"/>
    <w:rsid w:val="02821A5E"/>
    <w:rsid w:val="0286090C"/>
    <w:rsid w:val="02873BB9"/>
    <w:rsid w:val="02AD361F"/>
    <w:rsid w:val="02B0310F"/>
    <w:rsid w:val="02B56978"/>
    <w:rsid w:val="02CB1CF7"/>
    <w:rsid w:val="02F32FFC"/>
    <w:rsid w:val="02F76F90"/>
    <w:rsid w:val="03084CFA"/>
    <w:rsid w:val="030B47EA"/>
    <w:rsid w:val="03144708"/>
    <w:rsid w:val="03150DFB"/>
    <w:rsid w:val="032D26DE"/>
    <w:rsid w:val="032F672A"/>
    <w:rsid w:val="034F0B7A"/>
    <w:rsid w:val="03651F6E"/>
    <w:rsid w:val="03667C72"/>
    <w:rsid w:val="036B7036"/>
    <w:rsid w:val="036D7B71"/>
    <w:rsid w:val="036E328E"/>
    <w:rsid w:val="037D61DE"/>
    <w:rsid w:val="038506DE"/>
    <w:rsid w:val="03940343"/>
    <w:rsid w:val="03CE1C3B"/>
    <w:rsid w:val="03E01392"/>
    <w:rsid w:val="03F139E0"/>
    <w:rsid w:val="040000C7"/>
    <w:rsid w:val="041D6583"/>
    <w:rsid w:val="04247911"/>
    <w:rsid w:val="043A7135"/>
    <w:rsid w:val="0441726B"/>
    <w:rsid w:val="0466617C"/>
    <w:rsid w:val="047B62D9"/>
    <w:rsid w:val="04870534"/>
    <w:rsid w:val="048F0647"/>
    <w:rsid w:val="04A60F90"/>
    <w:rsid w:val="04A66578"/>
    <w:rsid w:val="04FF037E"/>
    <w:rsid w:val="050D2A9B"/>
    <w:rsid w:val="051054BA"/>
    <w:rsid w:val="051536FE"/>
    <w:rsid w:val="052D1FA4"/>
    <w:rsid w:val="05663F59"/>
    <w:rsid w:val="057228FE"/>
    <w:rsid w:val="05787AFD"/>
    <w:rsid w:val="057D59C1"/>
    <w:rsid w:val="058F1702"/>
    <w:rsid w:val="05C70E9C"/>
    <w:rsid w:val="05D62E8D"/>
    <w:rsid w:val="05E82BC0"/>
    <w:rsid w:val="05F6352F"/>
    <w:rsid w:val="05FF75B0"/>
    <w:rsid w:val="060519C4"/>
    <w:rsid w:val="060A6FDB"/>
    <w:rsid w:val="061D286A"/>
    <w:rsid w:val="064249C6"/>
    <w:rsid w:val="064A7E58"/>
    <w:rsid w:val="064C75F3"/>
    <w:rsid w:val="064E5119"/>
    <w:rsid w:val="06825418"/>
    <w:rsid w:val="068C79F0"/>
    <w:rsid w:val="06A25465"/>
    <w:rsid w:val="06B25CA1"/>
    <w:rsid w:val="06C21663"/>
    <w:rsid w:val="06DC0977"/>
    <w:rsid w:val="07070EDD"/>
    <w:rsid w:val="07094094"/>
    <w:rsid w:val="073267E9"/>
    <w:rsid w:val="073302AC"/>
    <w:rsid w:val="07372CAE"/>
    <w:rsid w:val="07375BAD"/>
    <w:rsid w:val="07493F29"/>
    <w:rsid w:val="074B2D67"/>
    <w:rsid w:val="076F416E"/>
    <w:rsid w:val="07751DC8"/>
    <w:rsid w:val="077C1812"/>
    <w:rsid w:val="07AC22B3"/>
    <w:rsid w:val="07BC2556"/>
    <w:rsid w:val="07BE1E2B"/>
    <w:rsid w:val="07C525AE"/>
    <w:rsid w:val="07CB5DFF"/>
    <w:rsid w:val="080041F1"/>
    <w:rsid w:val="080478A9"/>
    <w:rsid w:val="08422A5C"/>
    <w:rsid w:val="0855640B"/>
    <w:rsid w:val="0858732C"/>
    <w:rsid w:val="085E53BC"/>
    <w:rsid w:val="08730E67"/>
    <w:rsid w:val="087345A0"/>
    <w:rsid w:val="087E49FE"/>
    <w:rsid w:val="088820A4"/>
    <w:rsid w:val="08907C6B"/>
    <w:rsid w:val="08A92ADB"/>
    <w:rsid w:val="08AB6853"/>
    <w:rsid w:val="08B80F70"/>
    <w:rsid w:val="08C169D6"/>
    <w:rsid w:val="08CB1D92"/>
    <w:rsid w:val="08D70158"/>
    <w:rsid w:val="08DB6A0C"/>
    <w:rsid w:val="08EB30F3"/>
    <w:rsid w:val="08ED6E6B"/>
    <w:rsid w:val="08EE6740"/>
    <w:rsid w:val="090E0B90"/>
    <w:rsid w:val="09120680"/>
    <w:rsid w:val="09151909"/>
    <w:rsid w:val="09203EB9"/>
    <w:rsid w:val="093F0D49"/>
    <w:rsid w:val="0946657C"/>
    <w:rsid w:val="095412EF"/>
    <w:rsid w:val="09552287"/>
    <w:rsid w:val="096D58B6"/>
    <w:rsid w:val="09807C9E"/>
    <w:rsid w:val="0983157E"/>
    <w:rsid w:val="099C263F"/>
    <w:rsid w:val="09A84B40"/>
    <w:rsid w:val="09AE6375"/>
    <w:rsid w:val="09BE25B6"/>
    <w:rsid w:val="09C50FEF"/>
    <w:rsid w:val="09E110D4"/>
    <w:rsid w:val="09E638BB"/>
    <w:rsid w:val="09E77C46"/>
    <w:rsid w:val="09F14739"/>
    <w:rsid w:val="09FF326D"/>
    <w:rsid w:val="0A0106F5"/>
    <w:rsid w:val="0A037FC9"/>
    <w:rsid w:val="0A055BA1"/>
    <w:rsid w:val="0A151234"/>
    <w:rsid w:val="0A2148F3"/>
    <w:rsid w:val="0A2E379E"/>
    <w:rsid w:val="0A2E6BE8"/>
    <w:rsid w:val="0A2F3DC3"/>
    <w:rsid w:val="0A3A3B56"/>
    <w:rsid w:val="0A530F50"/>
    <w:rsid w:val="0A577EA6"/>
    <w:rsid w:val="0A652A31"/>
    <w:rsid w:val="0A71382C"/>
    <w:rsid w:val="0A825391"/>
    <w:rsid w:val="0A962578"/>
    <w:rsid w:val="0A9C3C41"/>
    <w:rsid w:val="0AB44ED8"/>
    <w:rsid w:val="0ABA2D7D"/>
    <w:rsid w:val="0AD025A1"/>
    <w:rsid w:val="0AD233DE"/>
    <w:rsid w:val="0AD876A7"/>
    <w:rsid w:val="0AE35F8A"/>
    <w:rsid w:val="0AE722C1"/>
    <w:rsid w:val="0AF33435"/>
    <w:rsid w:val="0AFB5144"/>
    <w:rsid w:val="0AFF3057"/>
    <w:rsid w:val="0B065FC2"/>
    <w:rsid w:val="0B105ABE"/>
    <w:rsid w:val="0B1306DF"/>
    <w:rsid w:val="0B1C57E6"/>
    <w:rsid w:val="0B260413"/>
    <w:rsid w:val="0B362885"/>
    <w:rsid w:val="0B3643CE"/>
    <w:rsid w:val="0B420FC5"/>
    <w:rsid w:val="0B5036E2"/>
    <w:rsid w:val="0B723658"/>
    <w:rsid w:val="0B7849E6"/>
    <w:rsid w:val="0B7D5744"/>
    <w:rsid w:val="0B7F76C6"/>
    <w:rsid w:val="0B974E6D"/>
    <w:rsid w:val="0BA945A0"/>
    <w:rsid w:val="0BB53545"/>
    <w:rsid w:val="0BB91287"/>
    <w:rsid w:val="0BD81B1B"/>
    <w:rsid w:val="0BE1258C"/>
    <w:rsid w:val="0BEB6845"/>
    <w:rsid w:val="0C0369A6"/>
    <w:rsid w:val="0C0A3890"/>
    <w:rsid w:val="0C216E2C"/>
    <w:rsid w:val="0C851169"/>
    <w:rsid w:val="0C8E44C1"/>
    <w:rsid w:val="0CA02447"/>
    <w:rsid w:val="0CA84E57"/>
    <w:rsid w:val="0CAF268A"/>
    <w:rsid w:val="0CF06885"/>
    <w:rsid w:val="0CF83115"/>
    <w:rsid w:val="0D0E73B0"/>
    <w:rsid w:val="0D16652A"/>
    <w:rsid w:val="0D1A3FA7"/>
    <w:rsid w:val="0D366907"/>
    <w:rsid w:val="0D4E59FF"/>
    <w:rsid w:val="0D562B05"/>
    <w:rsid w:val="0D6B035F"/>
    <w:rsid w:val="0D6E60A1"/>
    <w:rsid w:val="0D8238FA"/>
    <w:rsid w:val="0D8C6527"/>
    <w:rsid w:val="0D9C59EA"/>
    <w:rsid w:val="0DA67AEE"/>
    <w:rsid w:val="0DA71FDE"/>
    <w:rsid w:val="0DB43700"/>
    <w:rsid w:val="0DB717F6"/>
    <w:rsid w:val="0DC83A03"/>
    <w:rsid w:val="0DD26630"/>
    <w:rsid w:val="0DD71E98"/>
    <w:rsid w:val="0DDB26A9"/>
    <w:rsid w:val="0DE75691"/>
    <w:rsid w:val="0E150056"/>
    <w:rsid w:val="0E1705D6"/>
    <w:rsid w:val="0E344BF5"/>
    <w:rsid w:val="0E3D3626"/>
    <w:rsid w:val="0E4137B5"/>
    <w:rsid w:val="0E440BB0"/>
    <w:rsid w:val="0E4532A6"/>
    <w:rsid w:val="0E4F13F0"/>
    <w:rsid w:val="0E590AFF"/>
    <w:rsid w:val="0E770F85"/>
    <w:rsid w:val="0E8A7F6C"/>
    <w:rsid w:val="0E8E54DA"/>
    <w:rsid w:val="0EB63B25"/>
    <w:rsid w:val="0ECD6DF7"/>
    <w:rsid w:val="0ECF2B6F"/>
    <w:rsid w:val="0EF5379F"/>
    <w:rsid w:val="0EF66370"/>
    <w:rsid w:val="0EFE3455"/>
    <w:rsid w:val="0F026AA1"/>
    <w:rsid w:val="0F08731A"/>
    <w:rsid w:val="0F087E2F"/>
    <w:rsid w:val="0F0F5662"/>
    <w:rsid w:val="0F202928"/>
    <w:rsid w:val="0F3133CB"/>
    <w:rsid w:val="0F5372FC"/>
    <w:rsid w:val="0F84395A"/>
    <w:rsid w:val="0FA638D0"/>
    <w:rsid w:val="0FA81CDD"/>
    <w:rsid w:val="0FCD5301"/>
    <w:rsid w:val="0FCE68FF"/>
    <w:rsid w:val="0FEB5776"/>
    <w:rsid w:val="0FF705D0"/>
    <w:rsid w:val="103709CC"/>
    <w:rsid w:val="103733C1"/>
    <w:rsid w:val="104906FF"/>
    <w:rsid w:val="10596B94"/>
    <w:rsid w:val="10A736E6"/>
    <w:rsid w:val="10BE10ED"/>
    <w:rsid w:val="10D26947"/>
    <w:rsid w:val="10DA43E6"/>
    <w:rsid w:val="10EC7A09"/>
    <w:rsid w:val="10F36FE9"/>
    <w:rsid w:val="10FD2B9C"/>
    <w:rsid w:val="11042C72"/>
    <w:rsid w:val="111753C0"/>
    <w:rsid w:val="11256ADF"/>
    <w:rsid w:val="112A0531"/>
    <w:rsid w:val="112B21EB"/>
    <w:rsid w:val="11674464"/>
    <w:rsid w:val="11796ADD"/>
    <w:rsid w:val="118934A9"/>
    <w:rsid w:val="118B03B5"/>
    <w:rsid w:val="11A83289"/>
    <w:rsid w:val="11B26F22"/>
    <w:rsid w:val="11B92C2E"/>
    <w:rsid w:val="11BA7F87"/>
    <w:rsid w:val="11BC387F"/>
    <w:rsid w:val="11D37251"/>
    <w:rsid w:val="11E15093"/>
    <w:rsid w:val="11E23663"/>
    <w:rsid w:val="11F36B75"/>
    <w:rsid w:val="1202325C"/>
    <w:rsid w:val="120F5657"/>
    <w:rsid w:val="12107F7D"/>
    <w:rsid w:val="121C18ED"/>
    <w:rsid w:val="121C256F"/>
    <w:rsid w:val="12211934"/>
    <w:rsid w:val="122929EF"/>
    <w:rsid w:val="122F3529"/>
    <w:rsid w:val="123B2740"/>
    <w:rsid w:val="12474E77"/>
    <w:rsid w:val="12485112"/>
    <w:rsid w:val="12582E7C"/>
    <w:rsid w:val="126B0E01"/>
    <w:rsid w:val="126C07D3"/>
    <w:rsid w:val="12840ED7"/>
    <w:rsid w:val="129569F8"/>
    <w:rsid w:val="12972723"/>
    <w:rsid w:val="12A03F22"/>
    <w:rsid w:val="12A6008B"/>
    <w:rsid w:val="12BA4DA0"/>
    <w:rsid w:val="12DE7274"/>
    <w:rsid w:val="12EA25C0"/>
    <w:rsid w:val="12EB53B3"/>
    <w:rsid w:val="12EF7F1D"/>
    <w:rsid w:val="12FD414F"/>
    <w:rsid w:val="13006247"/>
    <w:rsid w:val="133236CD"/>
    <w:rsid w:val="133D279D"/>
    <w:rsid w:val="13453400"/>
    <w:rsid w:val="134A6C68"/>
    <w:rsid w:val="134D797D"/>
    <w:rsid w:val="135B1B56"/>
    <w:rsid w:val="13616DDA"/>
    <w:rsid w:val="13727D5F"/>
    <w:rsid w:val="13781A27"/>
    <w:rsid w:val="137F4B64"/>
    <w:rsid w:val="13946135"/>
    <w:rsid w:val="139D444C"/>
    <w:rsid w:val="13AA3CFD"/>
    <w:rsid w:val="13BF31B2"/>
    <w:rsid w:val="13C62793"/>
    <w:rsid w:val="13CA0233"/>
    <w:rsid w:val="13CE5AEB"/>
    <w:rsid w:val="13EB21F9"/>
    <w:rsid w:val="13F2409C"/>
    <w:rsid w:val="14355008"/>
    <w:rsid w:val="145204CA"/>
    <w:rsid w:val="14524026"/>
    <w:rsid w:val="1461426A"/>
    <w:rsid w:val="147E12BF"/>
    <w:rsid w:val="1481490C"/>
    <w:rsid w:val="14983138"/>
    <w:rsid w:val="14984A52"/>
    <w:rsid w:val="149B25B8"/>
    <w:rsid w:val="149D00E3"/>
    <w:rsid w:val="14A5394B"/>
    <w:rsid w:val="14CA62B3"/>
    <w:rsid w:val="14DB7912"/>
    <w:rsid w:val="14DC1B42"/>
    <w:rsid w:val="14DE58EF"/>
    <w:rsid w:val="14E135FC"/>
    <w:rsid w:val="14EE4F6C"/>
    <w:rsid w:val="14F21366"/>
    <w:rsid w:val="15085B07"/>
    <w:rsid w:val="150A2B53"/>
    <w:rsid w:val="150B1006"/>
    <w:rsid w:val="153100E0"/>
    <w:rsid w:val="153674A4"/>
    <w:rsid w:val="15473AE5"/>
    <w:rsid w:val="156102B8"/>
    <w:rsid w:val="156937E1"/>
    <w:rsid w:val="15761F97"/>
    <w:rsid w:val="158B5AB1"/>
    <w:rsid w:val="159348F7"/>
    <w:rsid w:val="15997A33"/>
    <w:rsid w:val="15AD4FB3"/>
    <w:rsid w:val="15AE7982"/>
    <w:rsid w:val="15B51009"/>
    <w:rsid w:val="15DC65E3"/>
    <w:rsid w:val="15F5735F"/>
    <w:rsid w:val="16331C36"/>
    <w:rsid w:val="164E4CC1"/>
    <w:rsid w:val="16582103"/>
    <w:rsid w:val="165F4CB9"/>
    <w:rsid w:val="16646293"/>
    <w:rsid w:val="166B7621"/>
    <w:rsid w:val="166F55EB"/>
    <w:rsid w:val="1672275E"/>
    <w:rsid w:val="1674297A"/>
    <w:rsid w:val="16774218"/>
    <w:rsid w:val="167C538B"/>
    <w:rsid w:val="168C1346"/>
    <w:rsid w:val="16917C48"/>
    <w:rsid w:val="16985F3D"/>
    <w:rsid w:val="16A13043"/>
    <w:rsid w:val="16B76BE4"/>
    <w:rsid w:val="16BA5EB3"/>
    <w:rsid w:val="16C15D95"/>
    <w:rsid w:val="16C46D32"/>
    <w:rsid w:val="16CA4564"/>
    <w:rsid w:val="16D50F3F"/>
    <w:rsid w:val="16FE0496"/>
    <w:rsid w:val="17073599"/>
    <w:rsid w:val="170A4CC0"/>
    <w:rsid w:val="1711641B"/>
    <w:rsid w:val="171262F0"/>
    <w:rsid w:val="17127A9D"/>
    <w:rsid w:val="17546308"/>
    <w:rsid w:val="17555BDC"/>
    <w:rsid w:val="1759391E"/>
    <w:rsid w:val="177644D0"/>
    <w:rsid w:val="177855D8"/>
    <w:rsid w:val="17797B1C"/>
    <w:rsid w:val="179761F4"/>
    <w:rsid w:val="17A56B63"/>
    <w:rsid w:val="17A80401"/>
    <w:rsid w:val="17DD00AB"/>
    <w:rsid w:val="17E24039"/>
    <w:rsid w:val="1821268E"/>
    <w:rsid w:val="18351844"/>
    <w:rsid w:val="185A17B4"/>
    <w:rsid w:val="18925339"/>
    <w:rsid w:val="189A2440"/>
    <w:rsid w:val="189A5F9C"/>
    <w:rsid w:val="18A961DF"/>
    <w:rsid w:val="18B352B0"/>
    <w:rsid w:val="18E11E1D"/>
    <w:rsid w:val="18E51E32"/>
    <w:rsid w:val="18EB4A4A"/>
    <w:rsid w:val="18F51424"/>
    <w:rsid w:val="19094ED0"/>
    <w:rsid w:val="190B0C48"/>
    <w:rsid w:val="19362169"/>
    <w:rsid w:val="194523AC"/>
    <w:rsid w:val="196A1E12"/>
    <w:rsid w:val="196A3BC0"/>
    <w:rsid w:val="197258DC"/>
    <w:rsid w:val="19831126"/>
    <w:rsid w:val="198611B9"/>
    <w:rsid w:val="19882298"/>
    <w:rsid w:val="19965EDA"/>
    <w:rsid w:val="19AF373A"/>
    <w:rsid w:val="19B97804"/>
    <w:rsid w:val="19BB441C"/>
    <w:rsid w:val="19C31523"/>
    <w:rsid w:val="19D46414"/>
    <w:rsid w:val="19D75095"/>
    <w:rsid w:val="19DE5CD3"/>
    <w:rsid w:val="19E951A2"/>
    <w:rsid w:val="1A1D5A3E"/>
    <w:rsid w:val="1A24197C"/>
    <w:rsid w:val="1A3A6028"/>
    <w:rsid w:val="1A4268EB"/>
    <w:rsid w:val="1A46462D"/>
    <w:rsid w:val="1A4A57A0"/>
    <w:rsid w:val="1A516B2E"/>
    <w:rsid w:val="1A5959E3"/>
    <w:rsid w:val="1A6B5E42"/>
    <w:rsid w:val="1A7B5F4E"/>
    <w:rsid w:val="1A8A3DEE"/>
    <w:rsid w:val="1A8C7B66"/>
    <w:rsid w:val="1A903AFB"/>
    <w:rsid w:val="1A9A6727"/>
    <w:rsid w:val="1AA72BF2"/>
    <w:rsid w:val="1AB25B78"/>
    <w:rsid w:val="1ABA3E94"/>
    <w:rsid w:val="1AE6371B"/>
    <w:rsid w:val="1B283968"/>
    <w:rsid w:val="1B3D762E"/>
    <w:rsid w:val="1B465D3A"/>
    <w:rsid w:val="1B4A02FA"/>
    <w:rsid w:val="1B505F65"/>
    <w:rsid w:val="1B59213E"/>
    <w:rsid w:val="1B682381"/>
    <w:rsid w:val="1B6F1697"/>
    <w:rsid w:val="1B762CF0"/>
    <w:rsid w:val="1B7C407F"/>
    <w:rsid w:val="1B8229A5"/>
    <w:rsid w:val="1B854CE1"/>
    <w:rsid w:val="1B890579"/>
    <w:rsid w:val="1BB723CB"/>
    <w:rsid w:val="1BBC447B"/>
    <w:rsid w:val="1BD47A17"/>
    <w:rsid w:val="1BD96DDB"/>
    <w:rsid w:val="1BDD4B1E"/>
    <w:rsid w:val="1BFB1448"/>
    <w:rsid w:val="1BFE4B3C"/>
    <w:rsid w:val="1C055AC1"/>
    <w:rsid w:val="1C0E2307"/>
    <w:rsid w:val="1C117A3C"/>
    <w:rsid w:val="1C256388"/>
    <w:rsid w:val="1C2A5027"/>
    <w:rsid w:val="1C591153"/>
    <w:rsid w:val="1C7B531C"/>
    <w:rsid w:val="1C80194D"/>
    <w:rsid w:val="1C8A6328"/>
    <w:rsid w:val="1C907DE2"/>
    <w:rsid w:val="1C9F6443"/>
    <w:rsid w:val="1CA745DD"/>
    <w:rsid w:val="1CA7512B"/>
    <w:rsid w:val="1D012A8E"/>
    <w:rsid w:val="1D063DAB"/>
    <w:rsid w:val="1D0E3E09"/>
    <w:rsid w:val="1D1207F7"/>
    <w:rsid w:val="1D1C3400"/>
    <w:rsid w:val="1D1E1B46"/>
    <w:rsid w:val="1D295B40"/>
    <w:rsid w:val="1D444728"/>
    <w:rsid w:val="1D655C57"/>
    <w:rsid w:val="1D6D03B8"/>
    <w:rsid w:val="1D6D1ED1"/>
    <w:rsid w:val="1D9823E8"/>
    <w:rsid w:val="1DA84CB7"/>
    <w:rsid w:val="1DAB29F9"/>
    <w:rsid w:val="1DBD0CD6"/>
    <w:rsid w:val="1DC97EE6"/>
    <w:rsid w:val="1DCC309C"/>
    <w:rsid w:val="1DD15853"/>
    <w:rsid w:val="1DD261D8"/>
    <w:rsid w:val="1DD72298"/>
    <w:rsid w:val="1DDE4B7D"/>
    <w:rsid w:val="1DDF4451"/>
    <w:rsid w:val="1DED3012"/>
    <w:rsid w:val="1DF00869"/>
    <w:rsid w:val="1E124827"/>
    <w:rsid w:val="1E2210EC"/>
    <w:rsid w:val="1E2C58E8"/>
    <w:rsid w:val="1E4B4B5A"/>
    <w:rsid w:val="1E51534F"/>
    <w:rsid w:val="1E5B6DBF"/>
    <w:rsid w:val="1E6257AE"/>
    <w:rsid w:val="1E7B23CC"/>
    <w:rsid w:val="1E844CEA"/>
    <w:rsid w:val="1E890FCD"/>
    <w:rsid w:val="1E893F5A"/>
    <w:rsid w:val="1EA025CB"/>
    <w:rsid w:val="1EA94722"/>
    <w:rsid w:val="1EB37DB8"/>
    <w:rsid w:val="1EB63404"/>
    <w:rsid w:val="1EC26DF6"/>
    <w:rsid w:val="1ED36C59"/>
    <w:rsid w:val="1ED815CC"/>
    <w:rsid w:val="1EEA30EC"/>
    <w:rsid w:val="1EEF50F3"/>
    <w:rsid w:val="1EF02DBA"/>
    <w:rsid w:val="1EFD7285"/>
    <w:rsid w:val="1F06438B"/>
    <w:rsid w:val="1F0C571A"/>
    <w:rsid w:val="1F14362A"/>
    <w:rsid w:val="1F2760B0"/>
    <w:rsid w:val="1F334A54"/>
    <w:rsid w:val="1F5919B1"/>
    <w:rsid w:val="1F5E23E9"/>
    <w:rsid w:val="1F752D3A"/>
    <w:rsid w:val="1F813A12"/>
    <w:rsid w:val="1F8B4890"/>
    <w:rsid w:val="1F9109C1"/>
    <w:rsid w:val="1F927D5B"/>
    <w:rsid w:val="1F941997"/>
    <w:rsid w:val="1F9A2D26"/>
    <w:rsid w:val="1FA3607E"/>
    <w:rsid w:val="1FA83694"/>
    <w:rsid w:val="1FA85442"/>
    <w:rsid w:val="1FBE6A14"/>
    <w:rsid w:val="1FC05159"/>
    <w:rsid w:val="1FC3227C"/>
    <w:rsid w:val="1FC87893"/>
    <w:rsid w:val="1FCB1131"/>
    <w:rsid w:val="1FD46237"/>
    <w:rsid w:val="1FD808F8"/>
    <w:rsid w:val="1FDB2A7E"/>
    <w:rsid w:val="1FDC50EC"/>
    <w:rsid w:val="1FE346CD"/>
    <w:rsid w:val="1FFB1882"/>
    <w:rsid w:val="202110DB"/>
    <w:rsid w:val="202925A1"/>
    <w:rsid w:val="202B1BD0"/>
    <w:rsid w:val="203647FC"/>
    <w:rsid w:val="203B542B"/>
    <w:rsid w:val="203E5DF0"/>
    <w:rsid w:val="20541126"/>
    <w:rsid w:val="205524AA"/>
    <w:rsid w:val="20605D1D"/>
    <w:rsid w:val="206155F1"/>
    <w:rsid w:val="20717F2A"/>
    <w:rsid w:val="20827A42"/>
    <w:rsid w:val="20884308"/>
    <w:rsid w:val="208A4F5D"/>
    <w:rsid w:val="209459C7"/>
    <w:rsid w:val="209634ED"/>
    <w:rsid w:val="20995C00"/>
    <w:rsid w:val="20BB11A5"/>
    <w:rsid w:val="20C63AC9"/>
    <w:rsid w:val="20DE0E36"/>
    <w:rsid w:val="20E6783A"/>
    <w:rsid w:val="20F93EB3"/>
    <w:rsid w:val="21040504"/>
    <w:rsid w:val="211B39F2"/>
    <w:rsid w:val="211F7986"/>
    <w:rsid w:val="21324237"/>
    <w:rsid w:val="21515F0F"/>
    <w:rsid w:val="21584354"/>
    <w:rsid w:val="215C4736"/>
    <w:rsid w:val="216D06F2"/>
    <w:rsid w:val="21763451"/>
    <w:rsid w:val="2177331E"/>
    <w:rsid w:val="218849EB"/>
    <w:rsid w:val="219407C4"/>
    <w:rsid w:val="219739C1"/>
    <w:rsid w:val="21A2432F"/>
    <w:rsid w:val="21B04A82"/>
    <w:rsid w:val="21BF4CC5"/>
    <w:rsid w:val="21C26CCA"/>
    <w:rsid w:val="21DA611C"/>
    <w:rsid w:val="21DE15EF"/>
    <w:rsid w:val="21ED538F"/>
    <w:rsid w:val="21EE1107"/>
    <w:rsid w:val="21FC7CC7"/>
    <w:rsid w:val="222848C7"/>
    <w:rsid w:val="223905D4"/>
    <w:rsid w:val="22576CAC"/>
    <w:rsid w:val="22857CBD"/>
    <w:rsid w:val="22950C0E"/>
    <w:rsid w:val="22A87A5F"/>
    <w:rsid w:val="22AC6FF8"/>
    <w:rsid w:val="22D12F02"/>
    <w:rsid w:val="22E5250A"/>
    <w:rsid w:val="22EA30D7"/>
    <w:rsid w:val="22FD7853"/>
    <w:rsid w:val="2305495A"/>
    <w:rsid w:val="23166B67"/>
    <w:rsid w:val="23203542"/>
    <w:rsid w:val="233E3859"/>
    <w:rsid w:val="23522813"/>
    <w:rsid w:val="23645B24"/>
    <w:rsid w:val="236D2C2B"/>
    <w:rsid w:val="238367CA"/>
    <w:rsid w:val="238D5D3D"/>
    <w:rsid w:val="23922691"/>
    <w:rsid w:val="239A1546"/>
    <w:rsid w:val="239B4777"/>
    <w:rsid w:val="239F090A"/>
    <w:rsid w:val="23B31D5F"/>
    <w:rsid w:val="23B95E70"/>
    <w:rsid w:val="23C35A13"/>
    <w:rsid w:val="23D04F68"/>
    <w:rsid w:val="23D762F6"/>
    <w:rsid w:val="23E2046F"/>
    <w:rsid w:val="23F171DD"/>
    <w:rsid w:val="23F30C56"/>
    <w:rsid w:val="240510B5"/>
    <w:rsid w:val="24120966"/>
    <w:rsid w:val="24150BCD"/>
    <w:rsid w:val="242D5F16"/>
    <w:rsid w:val="243948BB"/>
    <w:rsid w:val="24466FD8"/>
    <w:rsid w:val="24496A68"/>
    <w:rsid w:val="244C161E"/>
    <w:rsid w:val="2452597D"/>
    <w:rsid w:val="245F149B"/>
    <w:rsid w:val="245F2A83"/>
    <w:rsid w:val="246B6A3F"/>
    <w:rsid w:val="2479115B"/>
    <w:rsid w:val="248024EA"/>
    <w:rsid w:val="2483022C"/>
    <w:rsid w:val="24857B00"/>
    <w:rsid w:val="249B5576"/>
    <w:rsid w:val="249C76D5"/>
    <w:rsid w:val="24AE34FB"/>
    <w:rsid w:val="24B47998"/>
    <w:rsid w:val="24B5060B"/>
    <w:rsid w:val="24C30629"/>
    <w:rsid w:val="24C40BCE"/>
    <w:rsid w:val="24D05C3C"/>
    <w:rsid w:val="24D37B9D"/>
    <w:rsid w:val="24D61965"/>
    <w:rsid w:val="24D82C65"/>
    <w:rsid w:val="24EE1B49"/>
    <w:rsid w:val="252D60F3"/>
    <w:rsid w:val="25473008"/>
    <w:rsid w:val="25533D7B"/>
    <w:rsid w:val="255A71DF"/>
    <w:rsid w:val="255C45DD"/>
    <w:rsid w:val="255E2709"/>
    <w:rsid w:val="25861D82"/>
    <w:rsid w:val="258B7398"/>
    <w:rsid w:val="25902676"/>
    <w:rsid w:val="259B08F3"/>
    <w:rsid w:val="259C15A5"/>
    <w:rsid w:val="25A82D61"/>
    <w:rsid w:val="25AE7CE4"/>
    <w:rsid w:val="25B51A01"/>
    <w:rsid w:val="25CB3C39"/>
    <w:rsid w:val="25D901DD"/>
    <w:rsid w:val="25EF0DCD"/>
    <w:rsid w:val="25F64996"/>
    <w:rsid w:val="25F72C80"/>
    <w:rsid w:val="2611114A"/>
    <w:rsid w:val="26333C6D"/>
    <w:rsid w:val="26437C73"/>
    <w:rsid w:val="264D55E0"/>
    <w:rsid w:val="265A6D6B"/>
    <w:rsid w:val="2670658E"/>
    <w:rsid w:val="267B0E16"/>
    <w:rsid w:val="26A10E3D"/>
    <w:rsid w:val="26AA5F44"/>
    <w:rsid w:val="26B648E9"/>
    <w:rsid w:val="26B6680A"/>
    <w:rsid w:val="26F359D2"/>
    <w:rsid w:val="27003DB6"/>
    <w:rsid w:val="2705317A"/>
    <w:rsid w:val="27075144"/>
    <w:rsid w:val="27085BFB"/>
    <w:rsid w:val="27137433"/>
    <w:rsid w:val="27194E78"/>
    <w:rsid w:val="27196C26"/>
    <w:rsid w:val="27272151"/>
    <w:rsid w:val="272950BB"/>
    <w:rsid w:val="272E1912"/>
    <w:rsid w:val="275B28C6"/>
    <w:rsid w:val="275D6B12"/>
    <w:rsid w:val="276500BD"/>
    <w:rsid w:val="276E0ED0"/>
    <w:rsid w:val="276E51C4"/>
    <w:rsid w:val="277A5916"/>
    <w:rsid w:val="27840543"/>
    <w:rsid w:val="278E316A"/>
    <w:rsid w:val="27962024"/>
    <w:rsid w:val="27A42993"/>
    <w:rsid w:val="27B12B37"/>
    <w:rsid w:val="27B63715"/>
    <w:rsid w:val="28017DE6"/>
    <w:rsid w:val="281B7617"/>
    <w:rsid w:val="281F026C"/>
    <w:rsid w:val="2826784C"/>
    <w:rsid w:val="28321B2D"/>
    <w:rsid w:val="28321D4D"/>
    <w:rsid w:val="28415B69"/>
    <w:rsid w:val="284468C4"/>
    <w:rsid w:val="285070E1"/>
    <w:rsid w:val="2852360D"/>
    <w:rsid w:val="28620159"/>
    <w:rsid w:val="286365B1"/>
    <w:rsid w:val="286640ED"/>
    <w:rsid w:val="286D4C33"/>
    <w:rsid w:val="286E4D4F"/>
    <w:rsid w:val="28783522"/>
    <w:rsid w:val="287C121A"/>
    <w:rsid w:val="287C746C"/>
    <w:rsid w:val="289E5635"/>
    <w:rsid w:val="28BA534D"/>
    <w:rsid w:val="28BC4DFC"/>
    <w:rsid w:val="28CE5D75"/>
    <w:rsid w:val="28CF4E13"/>
    <w:rsid w:val="28DA340F"/>
    <w:rsid w:val="28DE3C83"/>
    <w:rsid w:val="28E82D54"/>
    <w:rsid w:val="28E868B0"/>
    <w:rsid w:val="28EC2844"/>
    <w:rsid w:val="28EE67D0"/>
    <w:rsid w:val="29057462"/>
    <w:rsid w:val="291D3575"/>
    <w:rsid w:val="292673D8"/>
    <w:rsid w:val="2927387C"/>
    <w:rsid w:val="292863C3"/>
    <w:rsid w:val="29417FF2"/>
    <w:rsid w:val="294B4AFF"/>
    <w:rsid w:val="295126A7"/>
    <w:rsid w:val="295249D2"/>
    <w:rsid w:val="295D53A7"/>
    <w:rsid w:val="2964701D"/>
    <w:rsid w:val="29755A2A"/>
    <w:rsid w:val="29A94291"/>
    <w:rsid w:val="29B0515D"/>
    <w:rsid w:val="29B93765"/>
    <w:rsid w:val="29E17ECF"/>
    <w:rsid w:val="29E4425C"/>
    <w:rsid w:val="29F319B0"/>
    <w:rsid w:val="2A247DBB"/>
    <w:rsid w:val="2A4B5348"/>
    <w:rsid w:val="2A4E6BE6"/>
    <w:rsid w:val="2A6428AE"/>
    <w:rsid w:val="2A64465C"/>
    <w:rsid w:val="2A662182"/>
    <w:rsid w:val="2A6F4829"/>
    <w:rsid w:val="2A750617"/>
    <w:rsid w:val="2A7A79DB"/>
    <w:rsid w:val="2A7F27ED"/>
    <w:rsid w:val="2A851A70"/>
    <w:rsid w:val="2A930DCD"/>
    <w:rsid w:val="2AA36F32"/>
    <w:rsid w:val="2AC05D36"/>
    <w:rsid w:val="2ACF4E96"/>
    <w:rsid w:val="2AD0584D"/>
    <w:rsid w:val="2AD8121E"/>
    <w:rsid w:val="2AE4343F"/>
    <w:rsid w:val="2AE93C56"/>
    <w:rsid w:val="2AEB7200"/>
    <w:rsid w:val="2B0F6376"/>
    <w:rsid w:val="2B2729A1"/>
    <w:rsid w:val="2B332030"/>
    <w:rsid w:val="2B3E30FF"/>
    <w:rsid w:val="2B4E31AB"/>
    <w:rsid w:val="2B516029"/>
    <w:rsid w:val="2B57647A"/>
    <w:rsid w:val="2B6109B1"/>
    <w:rsid w:val="2B624661"/>
    <w:rsid w:val="2B6F5066"/>
    <w:rsid w:val="2BAF49D7"/>
    <w:rsid w:val="2BBD5E27"/>
    <w:rsid w:val="2BC70BB9"/>
    <w:rsid w:val="2BDB6BA0"/>
    <w:rsid w:val="2BE23A8A"/>
    <w:rsid w:val="2BEC66B7"/>
    <w:rsid w:val="2BEE68D3"/>
    <w:rsid w:val="2C217B32"/>
    <w:rsid w:val="2C2E5A75"/>
    <w:rsid w:val="2C51159B"/>
    <w:rsid w:val="2C5C1643"/>
    <w:rsid w:val="2C5C6CD4"/>
    <w:rsid w:val="2C5F1504"/>
    <w:rsid w:val="2C695F59"/>
    <w:rsid w:val="2C714E0E"/>
    <w:rsid w:val="2C8707DF"/>
    <w:rsid w:val="2C9859C5"/>
    <w:rsid w:val="2C996564"/>
    <w:rsid w:val="2C9C1E8B"/>
    <w:rsid w:val="2CB43679"/>
    <w:rsid w:val="2CB96A46"/>
    <w:rsid w:val="2CC80ED2"/>
    <w:rsid w:val="2CDC2BCF"/>
    <w:rsid w:val="2CE6483A"/>
    <w:rsid w:val="2CEA18A7"/>
    <w:rsid w:val="2CF241A1"/>
    <w:rsid w:val="2D144117"/>
    <w:rsid w:val="2D1D6EFA"/>
    <w:rsid w:val="2D2554EB"/>
    <w:rsid w:val="2D564730"/>
    <w:rsid w:val="2D5C05DE"/>
    <w:rsid w:val="2D607CBE"/>
    <w:rsid w:val="2D636E4D"/>
    <w:rsid w:val="2D7D2598"/>
    <w:rsid w:val="2D880661"/>
    <w:rsid w:val="2D962D7E"/>
    <w:rsid w:val="2DA74F8B"/>
    <w:rsid w:val="2DA90D03"/>
    <w:rsid w:val="2DE47F8D"/>
    <w:rsid w:val="2DED3454"/>
    <w:rsid w:val="2DFA155F"/>
    <w:rsid w:val="2E127C0A"/>
    <w:rsid w:val="2E144AF5"/>
    <w:rsid w:val="2E33418C"/>
    <w:rsid w:val="2E3518B7"/>
    <w:rsid w:val="2E3A1E59"/>
    <w:rsid w:val="2E3C4036"/>
    <w:rsid w:val="2E570E39"/>
    <w:rsid w:val="2E5E5928"/>
    <w:rsid w:val="2E614446"/>
    <w:rsid w:val="2E666BF4"/>
    <w:rsid w:val="2E6764C9"/>
    <w:rsid w:val="2E821554"/>
    <w:rsid w:val="2E935F8A"/>
    <w:rsid w:val="2E9640D5"/>
    <w:rsid w:val="2E9A689E"/>
    <w:rsid w:val="2E9D638E"/>
    <w:rsid w:val="2EB72FAC"/>
    <w:rsid w:val="2EC24BC6"/>
    <w:rsid w:val="2EC92CDF"/>
    <w:rsid w:val="2ED17FB6"/>
    <w:rsid w:val="2EE45D6B"/>
    <w:rsid w:val="2EF134B4"/>
    <w:rsid w:val="2F083403"/>
    <w:rsid w:val="2F0A76B7"/>
    <w:rsid w:val="2F2443BA"/>
    <w:rsid w:val="2F27455B"/>
    <w:rsid w:val="2F2E4A11"/>
    <w:rsid w:val="2F3565C7"/>
    <w:rsid w:val="2F3F11F4"/>
    <w:rsid w:val="2F451C0C"/>
    <w:rsid w:val="2F452CAE"/>
    <w:rsid w:val="2F480C30"/>
    <w:rsid w:val="2F546A4D"/>
    <w:rsid w:val="2F5B563D"/>
    <w:rsid w:val="2F643F15"/>
    <w:rsid w:val="2F662C24"/>
    <w:rsid w:val="2F6824F8"/>
    <w:rsid w:val="2F6F0B8C"/>
    <w:rsid w:val="2F7750E4"/>
    <w:rsid w:val="2F8310E0"/>
    <w:rsid w:val="2F8A0897"/>
    <w:rsid w:val="2FAF1ED5"/>
    <w:rsid w:val="2FB90FA6"/>
    <w:rsid w:val="2FC42004"/>
    <w:rsid w:val="2FC476F3"/>
    <w:rsid w:val="30045BF1"/>
    <w:rsid w:val="300541EB"/>
    <w:rsid w:val="30106ACB"/>
    <w:rsid w:val="30136908"/>
    <w:rsid w:val="30281C88"/>
    <w:rsid w:val="302A0555"/>
    <w:rsid w:val="30373356"/>
    <w:rsid w:val="3048473A"/>
    <w:rsid w:val="304C1E1A"/>
    <w:rsid w:val="305B205D"/>
    <w:rsid w:val="306C415A"/>
    <w:rsid w:val="309A4933"/>
    <w:rsid w:val="309D4424"/>
    <w:rsid w:val="30A92DC8"/>
    <w:rsid w:val="30B11C7D"/>
    <w:rsid w:val="30B874AF"/>
    <w:rsid w:val="30C741BE"/>
    <w:rsid w:val="30CD523A"/>
    <w:rsid w:val="30DD36E0"/>
    <w:rsid w:val="30EC0F07"/>
    <w:rsid w:val="30F73B34"/>
    <w:rsid w:val="311F7C0E"/>
    <w:rsid w:val="312E4D7E"/>
    <w:rsid w:val="31342080"/>
    <w:rsid w:val="313D7CF1"/>
    <w:rsid w:val="31580CD7"/>
    <w:rsid w:val="31671C04"/>
    <w:rsid w:val="317F3B29"/>
    <w:rsid w:val="3192385D"/>
    <w:rsid w:val="31AD2FE7"/>
    <w:rsid w:val="31CD2205"/>
    <w:rsid w:val="31CD6808"/>
    <w:rsid w:val="31F82AAF"/>
    <w:rsid w:val="320F78C9"/>
    <w:rsid w:val="32144D1B"/>
    <w:rsid w:val="321921D0"/>
    <w:rsid w:val="3227669B"/>
    <w:rsid w:val="32326DEE"/>
    <w:rsid w:val="323446FA"/>
    <w:rsid w:val="325425A3"/>
    <w:rsid w:val="325D030E"/>
    <w:rsid w:val="325F5E35"/>
    <w:rsid w:val="32626D30"/>
    <w:rsid w:val="326E42CA"/>
    <w:rsid w:val="328B2544"/>
    <w:rsid w:val="328F3C7E"/>
    <w:rsid w:val="32BA306B"/>
    <w:rsid w:val="32BF0681"/>
    <w:rsid w:val="32C07FFA"/>
    <w:rsid w:val="32CA3CCA"/>
    <w:rsid w:val="32D4413C"/>
    <w:rsid w:val="32DC7485"/>
    <w:rsid w:val="32F80F11"/>
    <w:rsid w:val="33192D42"/>
    <w:rsid w:val="33326DB8"/>
    <w:rsid w:val="334D0383"/>
    <w:rsid w:val="336735B5"/>
    <w:rsid w:val="336B0809"/>
    <w:rsid w:val="338813BB"/>
    <w:rsid w:val="338E62A6"/>
    <w:rsid w:val="338F39E0"/>
    <w:rsid w:val="338F44F8"/>
    <w:rsid w:val="339E473B"/>
    <w:rsid w:val="33B0446E"/>
    <w:rsid w:val="33D4063A"/>
    <w:rsid w:val="33D75E9F"/>
    <w:rsid w:val="33E04D53"/>
    <w:rsid w:val="33E412BD"/>
    <w:rsid w:val="33F25135"/>
    <w:rsid w:val="341B222F"/>
    <w:rsid w:val="342509B8"/>
    <w:rsid w:val="342F4E8B"/>
    <w:rsid w:val="3434509F"/>
    <w:rsid w:val="34345DE3"/>
    <w:rsid w:val="343E7CCC"/>
    <w:rsid w:val="344D6161"/>
    <w:rsid w:val="34567B88"/>
    <w:rsid w:val="345768F4"/>
    <w:rsid w:val="34580D8D"/>
    <w:rsid w:val="34677222"/>
    <w:rsid w:val="348B70ED"/>
    <w:rsid w:val="34934894"/>
    <w:rsid w:val="349E7844"/>
    <w:rsid w:val="34E67EED"/>
    <w:rsid w:val="34F82570"/>
    <w:rsid w:val="351849C1"/>
    <w:rsid w:val="35270760"/>
    <w:rsid w:val="353D5019"/>
    <w:rsid w:val="354924F4"/>
    <w:rsid w:val="354E6238"/>
    <w:rsid w:val="35524794"/>
    <w:rsid w:val="356A6061"/>
    <w:rsid w:val="35725E7F"/>
    <w:rsid w:val="357D65D2"/>
    <w:rsid w:val="35957DBF"/>
    <w:rsid w:val="35A63D7A"/>
    <w:rsid w:val="35AB75D4"/>
    <w:rsid w:val="35CF507F"/>
    <w:rsid w:val="35D2691D"/>
    <w:rsid w:val="35F42D38"/>
    <w:rsid w:val="35F965A0"/>
    <w:rsid w:val="360665C9"/>
    <w:rsid w:val="360C62D3"/>
    <w:rsid w:val="361D3835"/>
    <w:rsid w:val="362058DB"/>
    <w:rsid w:val="36370E76"/>
    <w:rsid w:val="3637604F"/>
    <w:rsid w:val="363B44C3"/>
    <w:rsid w:val="363D46DF"/>
    <w:rsid w:val="364610BA"/>
    <w:rsid w:val="365D6B2F"/>
    <w:rsid w:val="365E6B01"/>
    <w:rsid w:val="3662158F"/>
    <w:rsid w:val="367E2601"/>
    <w:rsid w:val="368D17C9"/>
    <w:rsid w:val="368E1FC7"/>
    <w:rsid w:val="36A24542"/>
    <w:rsid w:val="36A4731E"/>
    <w:rsid w:val="36A9070A"/>
    <w:rsid w:val="36B204FD"/>
    <w:rsid w:val="36BF504B"/>
    <w:rsid w:val="36CA1CEB"/>
    <w:rsid w:val="370419F2"/>
    <w:rsid w:val="370A193E"/>
    <w:rsid w:val="37152F66"/>
    <w:rsid w:val="37227431"/>
    <w:rsid w:val="37293F0A"/>
    <w:rsid w:val="372C4753"/>
    <w:rsid w:val="37337890"/>
    <w:rsid w:val="373D24BC"/>
    <w:rsid w:val="373F65F1"/>
    <w:rsid w:val="375717D0"/>
    <w:rsid w:val="375A27EB"/>
    <w:rsid w:val="376B527C"/>
    <w:rsid w:val="37707DD1"/>
    <w:rsid w:val="37757799"/>
    <w:rsid w:val="37840808"/>
    <w:rsid w:val="378C7416"/>
    <w:rsid w:val="379C0E5D"/>
    <w:rsid w:val="37AB5678"/>
    <w:rsid w:val="37B07132"/>
    <w:rsid w:val="37B07204"/>
    <w:rsid w:val="37C74FD7"/>
    <w:rsid w:val="37D54FF8"/>
    <w:rsid w:val="37FA4E13"/>
    <w:rsid w:val="381256F7"/>
    <w:rsid w:val="381F1BC2"/>
    <w:rsid w:val="38233FA0"/>
    <w:rsid w:val="383E526D"/>
    <w:rsid w:val="38404012"/>
    <w:rsid w:val="384F06F9"/>
    <w:rsid w:val="388D2FD0"/>
    <w:rsid w:val="388F0AF6"/>
    <w:rsid w:val="389845C4"/>
    <w:rsid w:val="389F6697"/>
    <w:rsid w:val="38A722E3"/>
    <w:rsid w:val="38D40BFF"/>
    <w:rsid w:val="38D86941"/>
    <w:rsid w:val="390E2362"/>
    <w:rsid w:val="39113ACA"/>
    <w:rsid w:val="39146129"/>
    <w:rsid w:val="392C0A52"/>
    <w:rsid w:val="39335925"/>
    <w:rsid w:val="3942200C"/>
    <w:rsid w:val="39423DBA"/>
    <w:rsid w:val="395F6F71"/>
    <w:rsid w:val="396D0A5D"/>
    <w:rsid w:val="39987E7E"/>
    <w:rsid w:val="399A1E48"/>
    <w:rsid w:val="39A95BE7"/>
    <w:rsid w:val="39B06F76"/>
    <w:rsid w:val="39DA385F"/>
    <w:rsid w:val="39DD3AE3"/>
    <w:rsid w:val="39DE2E9B"/>
    <w:rsid w:val="39F2758E"/>
    <w:rsid w:val="39FC21BB"/>
    <w:rsid w:val="3A112E04"/>
    <w:rsid w:val="3A211C22"/>
    <w:rsid w:val="3A2160C5"/>
    <w:rsid w:val="3A221A8C"/>
    <w:rsid w:val="3A281202"/>
    <w:rsid w:val="3A2E4DC8"/>
    <w:rsid w:val="3A410516"/>
    <w:rsid w:val="3A5169AB"/>
    <w:rsid w:val="3A63048C"/>
    <w:rsid w:val="3A687850"/>
    <w:rsid w:val="3A6B7341"/>
    <w:rsid w:val="3A713B26"/>
    <w:rsid w:val="3A742699"/>
    <w:rsid w:val="3A7D77A0"/>
    <w:rsid w:val="3AA67957"/>
    <w:rsid w:val="3AAB598F"/>
    <w:rsid w:val="3ABE3914"/>
    <w:rsid w:val="3AC23405"/>
    <w:rsid w:val="3AC32E01"/>
    <w:rsid w:val="3AD60C5E"/>
    <w:rsid w:val="3AD76784"/>
    <w:rsid w:val="3ADA7245"/>
    <w:rsid w:val="3AE3337B"/>
    <w:rsid w:val="3AF52EEE"/>
    <w:rsid w:val="3B144787"/>
    <w:rsid w:val="3B20012B"/>
    <w:rsid w:val="3B40257B"/>
    <w:rsid w:val="3B427E5C"/>
    <w:rsid w:val="3B4A75B6"/>
    <w:rsid w:val="3B4F3130"/>
    <w:rsid w:val="3B5132D1"/>
    <w:rsid w:val="3B5D7F75"/>
    <w:rsid w:val="3B5E490D"/>
    <w:rsid w:val="3B67773C"/>
    <w:rsid w:val="3B7E2778"/>
    <w:rsid w:val="3B8E32E7"/>
    <w:rsid w:val="3B922EDF"/>
    <w:rsid w:val="3B984165"/>
    <w:rsid w:val="3B9D5C20"/>
    <w:rsid w:val="3BA25EDD"/>
    <w:rsid w:val="3BA63EF8"/>
    <w:rsid w:val="3BB014AF"/>
    <w:rsid w:val="3BB76BCA"/>
    <w:rsid w:val="3BBF16F2"/>
    <w:rsid w:val="3BD10196"/>
    <w:rsid w:val="3BF53366"/>
    <w:rsid w:val="3C074E88"/>
    <w:rsid w:val="3C1C4D96"/>
    <w:rsid w:val="3C1F4887"/>
    <w:rsid w:val="3C371BD0"/>
    <w:rsid w:val="3C4340D1"/>
    <w:rsid w:val="3C5D3B53"/>
    <w:rsid w:val="3C664263"/>
    <w:rsid w:val="3C7E77FF"/>
    <w:rsid w:val="3C991F43"/>
    <w:rsid w:val="3CA23939"/>
    <w:rsid w:val="3CA27CB0"/>
    <w:rsid w:val="3CB7061B"/>
    <w:rsid w:val="3CC316B6"/>
    <w:rsid w:val="3CCA2A44"/>
    <w:rsid w:val="3CCF005B"/>
    <w:rsid w:val="3CD45671"/>
    <w:rsid w:val="3CE07B72"/>
    <w:rsid w:val="3CE3316A"/>
    <w:rsid w:val="3D0575D8"/>
    <w:rsid w:val="3D1A2F01"/>
    <w:rsid w:val="3D1D5EDD"/>
    <w:rsid w:val="3D2D16A6"/>
    <w:rsid w:val="3D464256"/>
    <w:rsid w:val="3D4D2D2E"/>
    <w:rsid w:val="3D511CF2"/>
    <w:rsid w:val="3D682A74"/>
    <w:rsid w:val="3D7D1865"/>
    <w:rsid w:val="3D804EB1"/>
    <w:rsid w:val="3D840F95"/>
    <w:rsid w:val="3D937AD8"/>
    <w:rsid w:val="3D96770C"/>
    <w:rsid w:val="3DBF1E7D"/>
    <w:rsid w:val="3DC109F7"/>
    <w:rsid w:val="3DCC6E33"/>
    <w:rsid w:val="3DDC47DD"/>
    <w:rsid w:val="3DE418E4"/>
    <w:rsid w:val="3DFF671E"/>
    <w:rsid w:val="3E063608"/>
    <w:rsid w:val="3E083824"/>
    <w:rsid w:val="3E0B79C0"/>
    <w:rsid w:val="3E2E2B5F"/>
    <w:rsid w:val="3E532C8F"/>
    <w:rsid w:val="3E6D5F04"/>
    <w:rsid w:val="3E6E11AD"/>
    <w:rsid w:val="3EB2521D"/>
    <w:rsid w:val="3EB93822"/>
    <w:rsid w:val="3EC90A0B"/>
    <w:rsid w:val="3ED100BA"/>
    <w:rsid w:val="3EFE0783"/>
    <w:rsid w:val="3F012022"/>
    <w:rsid w:val="3F060B3B"/>
    <w:rsid w:val="3F1B7587"/>
    <w:rsid w:val="3F36616F"/>
    <w:rsid w:val="3F395C5F"/>
    <w:rsid w:val="3F4A5777"/>
    <w:rsid w:val="3F4E08C2"/>
    <w:rsid w:val="3F591E5E"/>
    <w:rsid w:val="3F632CDC"/>
    <w:rsid w:val="3F6902F3"/>
    <w:rsid w:val="3F755CC5"/>
    <w:rsid w:val="3F8618F2"/>
    <w:rsid w:val="3F8A2017"/>
    <w:rsid w:val="3F9609BC"/>
    <w:rsid w:val="3F9F5A84"/>
    <w:rsid w:val="3FB3156E"/>
    <w:rsid w:val="3FC1012F"/>
    <w:rsid w:val="3FCC233D"/>
    <w:rsid w:val="3FCD1A2C"/>
    <w:rsid w:val="3FCE3493"/>
    <w:rsid w:val="3FD73E6F"/>
    <w:rsid w:val="3FEA0D08"/>
    <w:rsid w:val="3FEF0B07"/>
    <w:rsid w:val="3FFB4CC3"/>
    <w:rsid w:val="3FFE0E31"/>
    <w:rsid w:val="400041A0"/>
    <w:rsid w:val="401F334A"/>
    <w:rsid w:val="40204729"/>
    <w:rsid w:val="40297A82"/>
    <w:rsid w:val="40490124"/>
    <w:rsid w:val="406120A5"/>
    <w:rsid w:val="406301E0"/>
    <w:rsid w:val="40632F94"/>
    <w:rsid w:val="40661095"/>
    <w:rsid w:val="40672358"/>
    <w:rsid w:val="406867FC"/>
    <w:rsid w:val="406F68CD"/>
    <w:rsid w:val="40750F19"/>
    <w:rsid w:val="409638B9"/>
    <w:rsid w:val="40A04E29"/>
    <w:rsid w:val="40AD06B3"/>
    <w:rsid w:val="40B27A77"/>
    <w:rsid w:val="40EE65D6"/>
    <w:rsid w:val="40F30A07"/>
    <w:rsid w:val="40F956A6"/>
    <w:rsid w:val="411A73CB"/>
    <w:rsid w:val="412171EE"/>
    <w:rsid w:val="41272213"/>
    <w:rsid w:val="41285739"/>
    <w:rsid w:val="414C7ECC"/>
    <w:rsid w:val="41545805"/>
    <w:rsid w:val="415D5357"/>
    <w:rsid w:val="415E470B"/>
    <w:rsid w:val="416A4D1D"/>
    <w:rsid w:val="416A65A4"/>
    <w:rsid w:val="416E4964"/>
    <w:rsid w:val="41874A60"/>
    <w:rsid w:val="418E2292"/>
    <w:rsid w:val="41942E28"/>
    <w:rsid w:val="419B49AF"/>
    <w:rsid w:val="41B079AE"/>
    <w:rsid w:val="41B617E9"/>
    <w:rsid w:val="41BB4FF6"/>
    <w:rsid w:val="41C446AF"/>
    <w:rsid w:val="41C7526E"/>
    <w:rsid w:val="41D25BC6"/>
    <w:rsid w:val="41DF489C"/>
    <w:rsid w:val="41FD2F74"/>
    <w:rsid w:val="420F1B82"/>
    <w:rsid w:val="42164036"/>
    <w:rsid w:val="42471EF1"/>
    <w:rsid w:val="424961B9"/>
    <w:rsid w:val="4250131F"/>
    <w:rsid w:val="42510572"/>
    <w:rsid w:val="425B6370"/>
    <w:rsid w:val="426E69DE"/>
    <w:rsid w:val="427A0F23"/>
    <w:rsid w:val="428C38C0"/>
    <w:rsid w:val="428C5B28"/>
    <w:rsid w:val="42925DB2"/>
    <w:rsid w:val="429A6A15"/>
    <w:rsid w:val="42AD499A"/>
    <w:rsid w:val="42AE426E"/>
    <w:rsid w:val="42AE5CA8"/>
    <w:rsid w:val="42D5069F"/>
    <w:rsid w:val="42DE51DB"/>
    <w:rsid w:val="42F1180C"/>
    <w:rsid w:val="42F119C2"/>
    <w:rsid w:val="43010842"/>
    <w:rsid w:val="430F57CF"/>
    <w:rsid w:val="4325788D"/>
    <w:rsid w:val="43302539"/>
    <w:rsid w:val="43432C09"/>
    <w:rsid w:val="43485F3B"/>
    <w:rsid w:val="434F5A51"/>
    <w:rsid w:val="4398420F"/>
    <w:rsid w:val="439E0787"/>
    <w:rsid w:val="439E6DDD"/>
    <w:rsid w:val="43A10625"/>
    <w:rsid w:val="43AF1B57"/>
    <w:rsid w:val="43B458B4"/>
    <w:rsid w:val="43B92ECB"/>
    <w:rsid w:val="43E3106F"/>
    <w:rsid w:val="43EA577A"/>
    <w:rsid w:val="43F263DD"/>
    <w:rsid w:val="43F62371"/>
    <w:rsid w:val="43F959BD"/>
    <w:rsid w:val="44313406"/>
    <w:rsid w:val="44436036"/>
    <w:rsid w:val="44466E54"/>
    <w:rsid w:val="445A3A94"/>
    <w:rsid w:val="4473751E"/>
    <w:rsid w:val="44913E48"/>
    <w:rsid w:val="449D7BEB"/>
    <w:rsid w:val="44BA6EFA"/>
    <w:rsid w:val="44BD69EB"/>
    <w:rsid w:val="44C37B0C"/>
    <w:rsid w:val="44C63C14"/>
    <w:rsid w:val="44C71617"/>
    <w:rsid w:val="44CC6C2E"/>
    <w:rsid w:val="44CD4E80"/>
    <w:rsid w:val="44D501D8"/>
    <w:rsid w:val="44E126D9"/>
    <w:rsid w:val="44E64193"/>
    <w:rsid w:val="44E87F0C"/>
    <w:rsid w:val="44EA299C"/>
    <w:rsid w:val="44FE3A87"/>
    <w:rsid w:val="45062140"/>
    <w:rsid w:val="450C508D"/>
    <w:rsid w:val="452D1DC2"/>
    <w:rsid w:val="45361337"/>
    <w:rsid w:val="455106D3"/>
    <w:rsid w:val="455235D7"/>
    <w:rsid w:val="45525385"/>
    <w:rsid w:val="455E78F2"/>
    <w:rsid w:val="45605B3C"/>
    <w:rsid w:val="45660E30"/>
    <w:rsid w:val="4588524B"/>
    <w:rsid w:val="459050A5"/>
    <w:rsid w:val="459D1C39"/>
    <w:rsid w:val="45AF695B"/>
    <w:rsid w:val="45DE130F"/>
    <w:rsid w:val="45F13C95"/>
    <w:rsid w:val="45F96148"/>
    <w:rsid w:val="460C7CB7"/>
    <w:rsid w:val="4613391D"/>
    <w:rsid w:val="46155B08"/>
    <w:rsid w:val="463D6035"/>
    <w:rsid w:val="4651388E"/>
    <w:rsid w:val="465F735E"/>
    <w:rsid w:val="466A4950"/>
    <w:rsid w:val="46704FD2"/>
    <w:rsid w:val="4670640B"/>
    <w:rsid w:val="469F284C"/>
    <w:rsid w:val="46AE6404"/>
    <w:rsid w:val="46B5206F"/>
    <w:rsid w:val="46BA6A35"/>
    <w:rsid w:val="46C44060"/>
    <w:rsid w:val="46D9189C"/>
    <w:rsid w:val="46E472F2"/>
    <w:rsid w:val="46FE585B"/>
    <w:rsid w:val="470A2EDA"/>
    <w:rsid w:val="470D5A07"/>
    <w:rsid w:val="47152B0E"/>
    <w:rsid w:val="471E1C87"/>
    <w:rsid w:val="474653BD"/>
    <w:rsid w:val="475233E9"/>
    <w:rsid w:val="47572CEA"/>
    <w:rsid w:val="47590C4D"/>
    <w:rsid w:val="476A1887"/>
    <w:rsid w:val="47713C3A"/>
    <w:rsid w:val="47793279"/>
    <w:rsid w:val="4783216D"/>
    <w:rsid w:val="47857C94"/>
    <w:rsid w:val="479E2B03"/>
    <w:rsid w:val="47A619B8"/>
    <w:rsid w:val="47A81BD4"/>
    <w:rsid w:val="47B73BC5"/>
    <w:rsid w:val="47BC11DC"/>
    <w:rsid w:val="47BE6D02"/>
    <w:rsid w:val="47C562E2"/>
    <w:rsid w:val="47C61EC4"/>
    <w:rsid w:val="47E250E6"/>
    <w:rsid w:val="47F866B8"/>
    <w:rsid w:val="48036E0A"/>
    <w:rsid w:val="48077256"/>
    <w:rsid w:val="480A77CA"/>
    <w:rsid w:val="48147269"/>
    <w:rsid w:val="481D7ECC"/>
    <w:rsid w:val="48360F8E"/>
    <w:rsid w:val="486A4163"/>
    <w:rsid w:val="487542F0"/>
    <w:rsid w:val="487E46E3"/>
    <w:rsid w:val="48855A71"/>
    <w:rsid w:val="48932DCC"/>
    <w:rsid w:val="48974E72"/>
    <w:rsid w:val="48981C49"/>
    <w:rsid w:val="489932CB"/>
    <w:rsid w:val="489D1D00"/>
    <w:rsid w:val="48A948A0"/>
    <w:rsid w:val="48AC0863"/>
    <w:rsid w:val="48B33C17"/>
    <w:rsid w:val="48B85E47"/>
    <w:rsid w:val="48D03190"/>
    <w:rsid w:val="48D76884"/>
    <w:rsid w:val="48D9507B"/>
    <w:rsid w:val="490260FB"/>
    <w:rsid w:val="49163354"/>
    <w:rsid w:val="491D5CAA"/>
    <w:rsid w:val="493D5485"/>
    <w:rsid w:val="4944592C"/>
    <w:rsid w:val="498B5309"/>
    <w:rsid w:val="49951CE4"/>
    <w:rsid w:val="499B6BF8"/>
    <w:rsid w:val="499C7517"/>
    <w:rsid w:val="49A07F3E"/>
    <w:rsid w:val="49A12AC4"/>
    <w:rsid w:val="49B742B7"/>
    <w:rsid w:val="49BC3715"/>
    <w:rsid w:val="49CF3448"/>
    <w:rsid w:val="49E02FB1"/>
    <w:rsid w:val="49E32E6D"/>
    <w:rsid w:val="49ED1B20"/>
    <w:rsid w:val="49FC1EF0"/>
    <w:rsid w:val="4A2E0ED5"/>
    <w:rsid w:val="4A2E4F2B"/>
    <w:rsid w:val="4A3310C5"/>
    <w:rsid w:val="4A413C1A"/>
    <w:rsid w:val="4A5623EF"/>
    <w:rsid w:val="4A5F2F79"/>
    <w:rsid w:val="4A631BA6"/>
    <w:rsid w:val="4A6C6EE9"/>
    <w:rsid w:val="4A6D17DC"/>
    <w:rsid w:val="4A73467D"/>
    <w:rsid w:val="4A82670C"/>
    <w:rsid w:val="4A881849"/>
    <w:rsid w:val="4A8A3710"/>
    <w:rsid w:val="4AA04DE4"/>
    <w:rsid w:val="4AF928CD"/>
    <w:rsid w:val="4B0A7576"/>
    <w:rsid w:val="4B1E3227"/>
    <w:rsid w:val="4B257098"/>
    <w:rsid w:val="4B313C8F"/>
    <w:rsid w:val="4B321807"/>
    <w:rsid w:val="4B3F0159"/>
    <w:rsid w:val="4B5736F5"/>
    <w:rsid w:val="4B756271"/>
    <w:rsid w:val="4B7818BD"/>
    <w:rsid w:val="4B85158D"/>
    <w:rsid w:val="4B8E2E8F"/>
    <w:rsid w:val="4B93319E"/>
    <w:rsid w:val="4B971153"/>
    <w:rsid w:val="4BC32B39"/>
    <w:rsid w:val="4BFD1760"/>
    <w:rsid w:val="4BFE6267"/>
    <w:rsid w:val="4C1C7AAB"/>
    <w:rsid w:val="4C365A00"/>
    <w:rsid w:val="4C392DFB"/>
    <w:rsid w:val="4C3C28EB"/>
    <w:rsid w:val="4C3C5617"/>
    <w:rsid w:val="4C4B0D80"/>
    <w:rsid w:val="4C6835B8"/>
    <w:rsid w:val="4C6836E0"/>
    <w:rsid w:val="4C6C31D0"/>
    <w:rsid w:val="4C6F0F12"/>
    <w:rsid w:val="4C771B75"/>
    <w:rsid w:val="4C881BEB"/>
    <w:rsid w:val="4C981298"/>
    <w:rsid w:val="4C9B33F3"/>
    <w:rsid w:val="4CA02E7A"/>
    <w:rsid w:val="4CA24E44"/>
    <w:rsid w:val="4CA53AF2"/>
    <w:rsid w:val="4CAD2284"/>
    <w:rsid w:val="4CB84667"/>
    <w:rsid w:val="4CCA439B"/>
    <w:rsid w:val="4CCD0192"/>
    <w:rsid w:val="4CD8042C"/>
    <w:rsid w:val="4CE24DC2"/>
    <w:rsid w:val="4D106251"/>
    <w:rsid w:val="4D1769A6"/>
    <w:rsid w:val="4D2B308B"/>
    <w:rsid w:val="4D387556"/>
    <w:rsid w:val="4D412B24"/>
    <w:rsid w:val="4D4E28D6"/>
    <w:rsid w:val="4D527B0F"/>
    <w:rsid w:val="4D5C1C0C"/>
    <w:rsid w:val="4D6B792C"/>
    <w:rsid w:val="4D752558"/>
    <w:rsid w:val="4D812AEE"/>
    <w:rsid w:val="4D82661A"/>
    <w:rsid w:val="4D84279B"/>
    <w:rsid w:val="4D904DAA"/>
    <w:rsid w:val="4D9216CD"/>
    <w:rsid w:val="4D94224E"/>
    <w:rsid w:val="4D956757"/>
    <w:rsid w:val="4DAD3AA0"/>
    <w:rsid w:val="4DAF77C9"/>
    <w:rsid w:val="4DB41BA5"/>
    <w:rsid w:val="4DB72B71"/>
    <w:rsid w:val="4DBA440F"/>
    <w:rsid w:val="4DBE1B32"/>
    <w:rsid w:val="4DCD5EF0"/>
    <w:rsid w:val="4DD94895"/>
    <w:rsid w:val="4DE33966"/>
    <w:rsid w:val="4E0C5E77"/>
    <w:rsid w:val="4E1A43BD"/>
    <w:rsid w:val="4E21623C"/>
    <w:rsid w:val="4E3A4E06"/>
    <w:rsid w:val="4E3B72FE"/>
    <w:rsid w:val="4E3C6BD2"/>
    <w:rsid w:val="4E564138"/>
    <w:rsid w:val="4E5E2FEC"/>
    <w:rsid w:val="4E683E6B"/>
    <w:rsid w:val="4E6A7BE3"/>
    <w:rsid w:val="4E8F13F8"/>
    <w:rsid w:val="4ECC43FA"/>
    <w:rsid w:val="4EDD690D"/>
    <w:rsid w:val="4EFB05E3"/>
    <w:rsid w:val="4F161B19"/>
    <w:rsid w:val="4F162174"/>
    <w:rsid w:val="4F1D6627"/>
    <w:rsid w:val="4F2200D6"/>
    <w:rsid w:val="4F310701"/>
    <w:rsid w:val="4F337FD5"/>
    <w:rsid w:val="4F42290E"/>
    <w:rsid w:val="4F5543EF"/>
    <w:rsid w:val="4F5F526E"/>
    <w:rsid w:val="4F5F701C"/>
    <w:rsid w:val="4F602D94"/>
    <w:rsid w:val="4F624D5E"/>
    <w:rsid w:val="4F781E8C"/>
    <w:rsid w:val="4F9667B6"/>
    <w:rsid w:val="4FB03FEC"/>
    <w:rsid w:val="4FCD667C"/>
    <w:rsid w:val="4FDA2B47"/>
    <w:rsid w:val="4FF95922"/>
    <w:rsid w:val="502C00CB"/>
    <w:rsid w:val="50323B01"/>
    <w:rsid w:val="50334495"/>
    <w:rsid w:val="503361A2"/>
    <w:rsid w:val="50377F99"/>
    <w:rsid w:val="50384256"/>
    <w:rsid w:val="5039786D"/>
    <w:rsid w:val="50546455"/>
    <w:rsid w:val="505634DB"/>
    <w:rsid w:val="505C7A00"/>
    <w:rsid w:val="507F390D"/>
    <w:rsid w:val="50B851F1"/>
    <w:rsid w:val="50B92785"/>
    <w:rsid w:val="50BF3DBA"/>
    <w:rsid w:val="50E43E70"/>
    <w:rsid w:val="50E93A79"/>
    <w:rsid w:val="50E95C79"/>
    <w:rsid w:val="50F86586"/>
    <w:rsid w:val="510C586A"/>
    <w:rsid w:val="511300BE"/>
    <w:rsid w:val="511A58F1"/>
    <w:rsid w:val="512978E2"/>
    <w:rsid w:val="512D6CA6"/>
    <w:rsid w:val="51343C8C"/>
    <w:rsid w:val="51373DEC"/>
    <w:rsid w:val="514A7858"/>
    <w:rsid w:val="514F1FA1"/>
    <w:rsid w:val="51550ECA"/>
    <w:rsid w:val="51586419"/>
    <w:rsid w:val="516A3A56"/>
    <w:rsid w:val="517174DB"/>
    <w:rsid w:val="51840539"/>
    <w:rsid w:val="518E1E3B"/>
    <w:rsid w:val="5196484B"/>
    <w:rsid w:val="51CE0489"/>
    <w:rsid w:val="51D51818"/>
    <w:rsid w:val="51EB4B97"/>
    <w:rsid w:val="51F53C68"/>
    <w:rsid w:val="52067C23"/>
    <w:rsid w:val="521340EE"/>
    <w:rsid w:val="521C11F4"/>
    <w:rsid w:val="52304CA0"/>
    <w:rsid w:val="5237602E"/>
    <w:rsid w:val="52432C25"/>
    <w:rsid w:val="5244074B"/>
    <w:rsid w:val="526479F4"/>
    <w:rsid w:val="527821A3"/>
    <w:rsid w:val="5294522F"/>
    <w:rsid w:val="52950FA7"/>
    <w:rsid w:val="52976ACD"/>
    <w:rsid w:val="5298570C"/>
    <w:rsid w:val="529B6283"/>
    <w:rsid w:val="52B96A43"/>
    <w:rsid w:val="52CD5231"/>
    <w:rsid w:val="52D95D46"/>
    <w:rsid w:val="52E02222"/>
    <w:rsid w:val="53202F66"/>
    <w:rsid w:val="535D3998"/>
    <w:rsid w:val="5373074A"/>
    <w:rsid w:val="53794EEA"/>
    <w:rsid w:val="537D3F15"/>
    <w:rsid w:val="538501A4"/>
    <w:rsid w:val="5392004D"/>
    <w:rsid w:val="53B042EA"/>
    <w:rsid w:val="53CD4190"/>
    <w:rsid w:val="53CF0730"/>
    <w:rsid w:val="53D53D51"/>
    <w:rsid w:val="53E144A4"/>
    <w:rsid w:val="53EC78B0"/>
    <w:rsid w:val="53F22F0A"/>
    <w:rsid w:val="53F341D7"/>
    <w:rsid w:val="54036E8C"/>
    <w:rsid w:val="540C5299"/>
    <w:rsid w:val="54370568"/>
    <w:rsid w:val="54420CBA"/>
    <w:rsid w:val="547277F2"/>
    <w:rsid w:val="549F610D"/>
    <w:rsid w:val="54A948CB"/>
    <w:rsid w:val="54AD4949"/>
    <w:rsid w:val="54D030F6"/>
    <w:rsid w:val="54ED50CA"/>
    <w:rsid w:val="54EF2BF0"/>
    <w:rsid w:val="54F92E48"/>
    <w:rsid w:val="550146D2"/>
    <w:rsid w:val="5517016B"/>
    <w:rsid w:val="553D1BAE"/>
    <w:rsid w:val="554817B2"/>
    <w:rsid w:val="554F7B33"/>
    <w:rsid w:val="555B1FDC"/>
    <w:rsid w:val="55676C2B"/>
    <w:rsid w:val="55913CA7"/>
    <w:rsid w:val="559F31E2"/>
    <w:rsid w:val="55A57753"/>
    <w:rsid w:val="55A74996"/>
    <w:rsid w:val="55B21D4E"/>
    <w:rsid w:val="55BE25C3"/>
    <w:rsid w:val="55DD0C9B"/>
    <w:rsid w:val="55FD30EB"/>
    <w:rsid w:val="561548D9"/>
    <w:rsid w:val="561870C5"/>
    <w:rsid w:val="562C39D0"/>
    <w:rsid w:val="5633540E"/>
    <w:rsid w:val="56517377"/>
    <w:rsid w:val="56644F18"/>
    <w:rsid w:val="56760B7F"/>
    <w:rsid w:val="56830C54"/>
    <w:rsid w:val="56A1616C"/>
    <w:rsid w:val="56A33100"/>
    <w:rsid w:val="56C42B2E"/>
    <w:rsid w:val="56C90818"/>
    <w:rsid w:val="56CC757E"/>
    <w:rsid w:val="56D07339"/>
    <w:rsid w:val="56D976B4"/>
    <w:rsid w:val="56E17DEA"/>
    <w:rsid w:val="56F07E72"/>
    <w:rsid w:val="57030BD5"/>
    <w:rsid w:val="57042282"/>
    <w:rsid w:val="57081D47"/>
    <w:rsid w:val="573963A5"/>
    <w:rsid w:val="57470040"/>
    <w:rsid w:val="575478EB"/>
    <w:rsid w:val="578515EA"/>
    <w:rsid w:val="579932E7"/>
    <w:rsid w:val="57AA2DFF"/>
    <w:rsid w:val="57B95FDB"/>
    <w:rsid w:val="57D04F5B"/>
    <w:rsid w:val="57DB740C"/>
    <w:rsid w:val="57E508CA"/>
    <w:rsid w:val="57EE3633"/>
    <w:rsid w:val="57F64296"/>
    <w:rsid w:val="57FA6696"/>
    <w:rsid w:val="580C03E7"/>
    <w:rsid w:val="58300E4A"/>
    <w:rsid w:val="58374AF3"/>
    <w:rsid w:val="583F79EB"/>
    <w:rsid w:val="58521E3C"/>
    <w:rsid w:val="585B059D"/>
    <w:rsid w:val="58615BB3"/>
    <w:rsid w:val="586B4C84"/>
    <w:rsid w:val="587F24DD"/>
    <w:rsid w:val="5887626D"/>
    <w:rsid w:val="5889335C"/>
    <w:rsid w:val="58991A45"/>
    <w:rsid w:val="58AD704A"/>
    <w:rsid w:val="58D817E6"/>
    <w:rsid w:val="58E43968"/>
    <w:rsid w:val="58F92290"/>
    <w:rsid w:val="58F93C0A"/>
    <w:rsid w:val="59012EF2"/>
    <w:rsid w:val="59301A29"/>
    <w:rsid w:val="593947E3"/>
    <w:rsid w:val="59505C28"/>
    <w:rsid w:val="5966544B"/>
    <w:rsid w:val="598E28EC"/>
    <w:rsid w:val="59BD32BD"/>
    <w:rsid w:val="59CC1091"/>
    <w:rsid w:val="59DF5872"/>
    <w:rsid w:val="59E545C2"/>
    <w:rsid w:val="59E7033A"/>
    <w:rsid w:val="59EF3BD2"/>
    <w:rsid w:val="59FA62BF"/>
    <w:rsid w:val="59FE3163"/>
    <w:rsid w:val="5A1D5B0A"/>
    <w:rsid w:val="5A225816"/>
    <w:rsid w:val="5A250E62"/>
    <w:rsid w:val="5A2A0227"/>
    <w:rsid w:val="5A5E4A91"/>
    <w:rsid w:val="5A9E49E8"/>
    <w:rsid w:val="5AB3021C"/>
    <w:rsid w:val="5ADD34EB"/>
    <w:rsid w:val="5ADE1CCB"/>
    <w:rsid w:val="5AE07F58"/>
    <w:rsid w:val="5AEB20AC"/>
    <w:rsid w:val="5AF078D1"/>
    <w:rsid w:val="5AFE26B7"/>
    <w:rsid w:val="5B000E34"/>
    <w:rsid w:val="5B0033BF"/>
    <w:rsid w:val="5B043399"/>
    <w:rsid w:val="5B070568"/>
    <w:rsid w:val="5B072CED"/>
    <w:rsid w:val="5B0A62C6"/>
    <w:rsid w:val="5B174C4F"/>
    <w:rsid w:val="5B2A2BD4"/>
    <w:rsid w:val="5B4D241F"/>
    <w:rsid w:val="5B6D486F"/>
    <w:rsid w:val="5B743E4F"/>
    <w:rsid w:val="5BA54009"/>
    <w:rsid w:val="5BB604F1"/>
    <w:rsid w:val="5BC8419B"/>
    <w:rsid w:val="5BFC7F80"/>
    <w:rsid w:val="5C0C010D"/>
    <w:rsid w:val="5C133668"/>
    <w:rsid w:val="5C1E6D45"/>
    <w:rsid w:val="5C2C00C5"/>
    <w:rsid w:val="5C470A30"/>
    <w:rsid w:val="5C491F27"/>
    <w:rsid w:val="5C4A2E02"/>
    <w:rsid w:val="5C5B15F2"/>
    <w:rsid w:val="5C702869"/>
    <w:rsid w:val="5C7E7F84"/>
    <w:rsid w:val="5CAC13C7"/>
    <w:rsid w:val="5CB27EE7"/>
    <w:rsid w:val="5CC04E72"/>
    <w:rsid w:val="5CD947B2"/>
    <w:rsid w:val="5CE2128D"/>
    <w:rsid w:val="5D014763"/>
    <w:rsid w:val="5D255365"/>
    <w:rsid w:val="5D477021"/>
    <w:rsid w:val="5D4E5BA8"/>
    <w:rsid w:val="5D5E6B65"/>
    <w:rsid w:val="5D61217D"/>
    <w:rsid w:val="5D621348"/>
    <w:rsid w:val="5D681792"/>
    <w:rsid w:val="5D6D6DA8"/>
    <w:rsid w:val="5D893022"/>
    <w:rsid w:val="5D9372F4"/>
    <w:rsid w:val="5DA57FEE"/>
    <w:rsid w:val="5DAE616B"/>
    <w:rsid w:val="5DB77D01"/>
    <w:rsid w:val="5DBB5701"/>
    <w:rsid w:val="5DBF22F9"/>
    <w:rsid w:val="5DC60FED"/>
    <w:rsid w:val="5DC7688B"/>
    <w:rsid w:val="5DCF35BF"/>
    <w:rsid w:val="5DF24B50"/>
    <w:rsid w:val="5E023994"/>
    <w:rsid w:val="5E065D78"/>
    <w:rsid w:val="5E1062BF"/>
    <w:rsid w:val="5E2C27BF"/>
    <w:rsid w:val="5E303CEE"/>
    <w:rsid w:val="5E3653EC"/>
    <w:rsid w:val="5E3F236F"/>
    <w:rsid w:val="5E421185"/>
    <w:rsid w:val="5E556D8C"/>
    <w:rsid w:val="5E6A32E8"/>
    <w:rsid w:val="5E6C29E8"/>
    <w:rsid w:val="5E710B1A"/>
    <w:rsid w:val="5E802B0B"/>
    <w:rsid w:val="5E96232F"/>
    <w:rsid w:val="5E9B5AB1"/>
    <w:rsid w:val="5E9D190F"/>
    <w:rsid w:val="5EA82D2F"/>
    <w:rsid w:val="5EBD5B0D"/>
    <w:rsid w:val="5EEA61D6"/>
    <w:rsid w:val="5EF00A9F"/>
    <w:rsid w:val="5F1167D9"/>
    <w:rsid w:val="5F335DCF"/>
    <w:rsid w:val="5F492C8E"/>
    <w:rsid w:val="5F5226F9"/>
    <w:rsid w:val="5F5521EA"/>
    <w:rsid w:val="5F552890"/>
    <w:rsid w:val="5F654A38"/>
    <w:rsid w:val="5F667F53"/>
    <w:rsid w:val="5F710167"/>
    <w:rsid w:val="5F8B70D8"/>
    <w:rsid w:val="5F9E7655"/>
    <w:rsid w:val="5FAC3308"/>
    <w:rsid w:val="5FE3453E"/>
    <w:rsid w:val="5FE84CD7"/>
    <w:rsid w:val="5FED0532"/>
    <w:rsid w:val="60161979"/>
    <w:rsid w:val="6017124D"/>
    <w:rsid w:val="60172FFB"/>
    <w:rsid w:val="60193851"/>
    <w:rsid w:val="602032E3"/>
    <w:rsid w:val="60242381"/>
    <w:rsid w:val="6033700D"/>
    <w:rsid w:val="605B3830"/>
    <w:rsid w:val="6062610E"/>
    <w:rsid w:val="606C3347"/>
    <w:rsid w:val="60771CEC"/>
    <w:rsid w:val="60940AF0"/>
    <w:rsid w:val="609D1311"/>
    <w:rsid w:val="60A800F7"/>
    <w:rsid w:val="60BB7819"/>
    <w:rsid w:val="60BF1CDB"/>
    <w:rsid w:val="60BF5B6D"/>
    <w:rsid w:val="60C34F31"/>
    <w:rsid w:val="60C72C73"/>
    <w:rsid w:val="60CD4C95"/>
    <w:rsid w:val="610B5D8F"/>
    <w:rsid w:val="611C2D78"/>
    <w:rsid w:val="612105D5"/>
    <w:rsid w:val="61284CC2"/>
    <w:rsid w:val="61442516"/>
    <w:rsid w:val="615F476F"/>
    <w:rsid w:val="6187691D"/>
    <w:rsid w:val="61891CD7"/>
    <w:rsid w:val="6189617B"/>
    <w:rsid w:val="61952D71"/>
    <w:rsid w:val="61A20164"/>
    <w:rsid w:val="61B94FE1"/>
    <w:rsid w:val="61BE5C44"/>
    <w:rsid w:val="61CB3795"/>
    <w:rsid w:val="61D218D0"/>
    <w:rsid w:val="61E138C1"/>
    <w:rsid w:val="61EA4E6B"/>
    <w:rsid w:val="61ED04B8"/>
    <w:rsid w:val="61FC06FB"/>
    <w:rsid w:val="620D46B6"/>
    <w:rsid w:val="62153E49"/>
    <w:rsid w:val="623F2739"/>
    <w:rsid w:val="625C73EB"/>
    <w:rsid w:val="626C3AD2"/>
    <w:rsid w:val="626F35C2"/>
    <w:rsid w:val="6287090C"/>
    <w:rsid w:val="628D6F30"/>
    <w:rsid w:val="6294694F"/>
    <w:rsid w:val="629628FD"/>
    <w:rsid w:val="629B6165"/>
    <w:rsid w:val="62B17737"/>
    <w:rsid w:val="62C44D37"/>
    <w:rsid w:val="62CA5B75"/>
    <w:rsid w:val="62D82F16"/>
    <w:rsid w:val="62F236D1"/>
    <w:rsid w:val="62F4223C"/>
    <w:rsid w:val="62F60FD0"/>
    <w:rsid w:val="62FB4E56"/>
    <w:rsid w:val="630755A9"/>
    <w:rsid w:val="630E2DDB"/>
    <w:rsid w:val="630F445E"/>
    <w:rsid w:val="631B72A6"/>
    <w:rsid w:val="632139F6"/>
    <w:rsid w:val="632223E3"/>
    <w:rsid w:val="633F2F95"/>
    <w:rsid w:val="634C56B2"/>
    <w:rsid w:val="63584057"/>
    <w:rsid w:val="635F3577"/>
    <w:rsid w:val="63682D58"/>
    <w:rsid w:val="63744E80"/>
    <w:rsid w:val="637B4DAF"/>
    <w:rsid w:val="63841951"/>
    <w:rsid w:val="638D0903"/>
    <w:rsid w:val="639826A5"/>
    <w:rsid w:val="63B84AF5"/>
    <w:rsid w:val="63BF7C32"/>
    <w:rsid w:val="63C11364"/>
    <w:rsid w:val="63D414A8"/>
    <w:rsid w:val="63E91153"/>
    <w:rsid w:val="63F16DD5"/>
    <w:rsid w:val="63F27828"/>
    <w:rsid w:val="63F45D2C"/>
    <w:rsid w:val="640224B7"/>
    <w:rsid w:val="64061775"/>
    <w:rsid w:val="64105FBC"/>
    <w:rsid w:val="64137F7D"/>
    <w:rsid w:val="64191A38"/>
    <w:rsid w:val="642663F5"/>
    <w:rsid w:val="64281C7B"/>
    <w:rsid w:val="642D7291"/>
    <w:rsid w:val="64305963"/>
    <w:rsid w:val="6477050C"/>
    <w:rsid w:val="64881087"/>
    <w:rsid w:val="64C00105"/>
    <w:rsid w:val="64C95D8F"/>
    <w:rsid w:val="64DF6B47"/>
    <w:rsid w:val="650E0E71"/>
    <w:rsid w:val="652A1A23"/>
    <w:rsid w:val="654C7BEB"/>
    <w:rsid w:val="655A40B6"/>
    <w:rsid w:val="65675D6A"/>
    <w:rsid w:val="65876E75"/>
    <w:rsid w:val="658A5984"/>
    <w:rsid w:val="65A457F8"/>
    <w:rsid w:val="65CB0B10"/>
    <w:rsid w:val="65CD346F"/>
    <w:rsid w:val="65E6134E"/>
    <w:rsid w:val="65E83723"/>
    <w:rsid w:val="65EF593A"/>
    <w:rsid w:val="65F056C5"/>
    <w:rsid w:val="66092364"/>
    <w:rsid w:val="660C6BBD"/>
    <w:rsid w:val="66285F62"/>
    <w:rsid w:val="66432D9C"/>
    <w:rsid w:val="664E60E1"/>
    <w:rsid w:val="665965F2"/>
    <w:rsid w:val="66642F38"/>
    <w:rsid w:val="666B2E94"/>
    <w:rsid w:val="667A7A34"/>
    <w:rsid w:val="66805D9E"/>
    <w:rsid w:val="669E0497"/>
    <w:rsid w:val="669E7FD2"/>
    <w:rsid w:val="66AA6710"/>
    <w:rsid w:val="66B477F6"/>
    <w:rsid w:val="66F83B86"/>
    <w:rsid w:val="66FE4F15"/>
    <w:rsid w:val="670C5884"/>
    <w:rsid w:val="67226E55"/>
    <w:rsid w:val="672D1356"/>
    <w:rsid w:val="67346B89"/>
    <w:rsid w:val="673D5673"/>
    <w:rsid w:val="67492634"/>
    <w:rsid w:val="676254A4"/>
    <w:rsid w:val="67650AF0"/>
    <w:rsid w:val="678A67A9"/>
    <w:rsid w:val="678C0773"/>
    <w:rsid w:val="67950437"/>
    <w:rsid w:val="67AC259D"/>
    <w:rsid w:val="67B026C9"/>
    <w:rsid w:val="67B13D35"/>
    <w:rsid w:val="67D80A21"/>
    <w:rsid w:val="67E10ABE"/>
    <w:rsid w:val="67EE03D0"/>
    <w:rsid w:val="67F96005"/>
    <w:rsid w:val="681738BA"/>
    <w:rsid w:val="681C38A5"/>
    <w:rsid w:val="681C6DEA"/>
    <w:rsid w:val="68442DFB"/>
    <w:rsid w:val="684D7F02"/>
    <w:rsid w:val="68650D26"/>
    <w:rsid w:val="68751207"/>
    <w:rsid w:val="687E00BB"/>
    <w:rsid w:val="688F22C8"/>
    <w:rsid w:val="689939B6"/>
    <w:rsid w:val="68C71DD3"/>
    <w:rsid w:val="68D4417F"/>
    <w:rsid w:val="68D979E8"/>
    <w:rsid w:val="68E63EB3"/>
    <w:rsid w:val="690D7691"/>
    <w:rsid w:val="6925282D"/>
    <w:rsid w:val="6931512E"/>
    <w:rsid w:val="693764BC"/>
    <w:rsid w:val="693B7312"/>
    <w:rsid w:val="6940217B"/>
    <w:rsid w:val="696077C1"/>
    <w:rsid w:val="697417A7"/>
    <w:rsid w:val="6987701B"/>
    <w:rsid w:val="69A6171F"/>
    <w:rsid w:val="69C71A14"/>
    <w:rsid w:val="69DB0FEE"/>
    <w:rsid w:val="69EB1906"/>
    <w:rsid w:val="69F17170"/>
    <w:rsid w:val="69FB573C"/>
    <w:rsid w:val="6A0665BA"/>
    <w:rsid w:val="6A066A76"/>
    <w:rsid w:val="6A0942FC"/>
    <w:rsid w:val="6A0B3BD1"/>
    <w:rsid w:val="6A2922A9"/>
    <w:rsid w:val="6A2E78BF"/>
    <w:rsid w:val="6A334ED5"/>
    <w:rsid w:val="6A48221F"/>
    <w:rsid w:val="6A5D01A4"/>
    <w:rsid w:val="6A984C41"/>
    <w:rsid w:val="6A9A4F55"/>
    <w:rsid w:val="6AB62BC4"/>
    <w:rsid w:val="6ABF152D"/>
    <w:rsid w:val="6AD761A9"/>
    <w:rsid w:val="6AEB2D38"/>
    <w:rsid w:val="6AF208ED"/>
    <w:rsid w:val="6B040620"/>
    <w:rsid w:val="6B0D315A"/>
    <w:rsid w:val="6B1940CB"/>
    <w:rsid w:val="6B2A277C"/>
    <w:rsid w:val="6B2C4A77"/>
    <w:rsid w:val="6B713F07"/>
    <w:rsid w:val="6B753F21"/>
    <w:rsid w:val="6B7925B5"/>
    <w:rsid w:val="6B823960"/>
    <w:rsid w:val="6B9C3A0A"/>
    <w:rsid w:val="6BB5775C"/>
    <w:rsid w:val="6BB90FAB"/>
    <w:rsid w:val="6BF80185"/>
    <w:rsid w:val="6BFF59B7"/>
    <w:rsid w:val="6C1F3963"/>
    <w:rsid w:val="6C3162DA"/>
    <w:rsid w:val="6C4038DA"/>
    <w:rsid w:val="6C4C3880"/>
    <w:rsid w:val="6C501D6F"/>
    <w:rsid w:val="6C5B5AE9"/>
    <w:rsid w:val="6C7F2654"/>
    <w:rsid w:val="6C8D4D71"/>
    <w:rsid w:val="6C9713ED"/>
    <w:rsid w:val="6CA468E0"/>
    <w:rsid w:val="6CA976D1"/>
    <w:rsid w:val="6CAD0F6F"/>
    <w:rsid w:val="6CAF7721"/>
    <w:rsid w:val="6CB467A2"/>
    <w:rsid w:val="6CB95A5F"/>
    <w:rsid w:val="6CD52274"/>
    <w:rsid w:val="6CE1330F"/>
    <w:rsid w:val="6CF90658"/>
    <w:rsid w:val="6D050DAB"/>
    <w:rsid w:val="6D25144D"/>
    <w:rsid w:val="6D260D22"/>
    <w:rsid w:val="6D3671B7"/>
    <w:rsid w:val="6D374CDD"/>
    <w:rsid w:val="6D5532B9"/>
    <w:rsid w:val="6D5B50DE"/>
    <w:rsid w:val="6D607AAF"/>
    <w:rsid w:val="6D8D2B4F"/>
    <w:rsid w:val="6D960444"/>
    <w:rsid w:val="6DAE1836"/>
    <w:rsid w:val="6DC80CEB"/>
    <w:rsid w:val="6DEF229A"/>
    <w:rsid w:val="6DFA6436"/>
    <w:rsid w:val="6DFB21AE"/>
    <w:rsid w:val="6E1A09F0"/>
    <w:rsid w:val="6E1F5E9D"/>
    <w:rsid w:val="6E4C0C5C"/>
    <w:rsid w:val="6E702D0B"/>
    <w:rsid w:val="6E8B11F2"/>
    <w:rsid w:val="6E930639"/>
    <w:rsid w:val="6EA14B04"/>
    <w:rsid w:val="6EC3467D"/>
    <w:rsid w:val="6EE22748"/>
    <w:rsid w:val="6EE964AB"/>
    <w:rsid w:val="6F000DEF"/>
    <w:rsid w:val="6F094457"/>
    <w:rsid w:val="6F2177A4"/>
    <w:rsid w:val="6F2614AD"/>
    <w:rsid w:val="6F262186"/>
    <w:rsid w:val="6F2D6397"/>
    <w:rsid w:val="6F321C00"/>
    <w:rsid w:val="6F343BCA"/>
    <w:rsid w:val="6F3E7EF0"/>
    <w:rsid w:val="6F40256E"/>
    <w:rsid w:val="6F411E43"/>
    <w:rsid w:val="6F451933"/>
    <w:rsid w:val="6F4B268A"/>
    <w:rsid w:val="6F5E21BF"/>
    <w:rsid w:val="6F6F69B0"/>
    <w:rsid w:val="6F742218"/>
    <w:rsid w:val="6F745D74"/>
    <w:rsid w:val="6F9836F2"/>
    <w:rsid w:val="6F9E4B27"/>
    <w:rsid w:val="6FA01CFF"/>
    <w:rsid w:val="6FA10B33"/>
    <w:rsid w:val="6FA6174C"/>
    <w:rsid w:val="6FAD572A"/>
    <w:rsid w:val="6FB03BF4"/>
    <w:rsid w:val="6FB72105"/>
    <w:rsid w:val="6FCF744E"/>
    <w:rsid w:val="6FD67C95"/>
    <w:rsid w:val="6FD76303"/>
    <w:rsid w:val="6FD9207B"/>
    <w:rsid w:val="70101F69"/>
    <w:rsid w:val="701557A9"/>
    <w:rsid w:val="70161521"/>
    <w:rsid w:val="70180CEA"/>
    <w:rsid w:val="70202F02"/>
    <w:rsid w:val="70311EB7"/>
    <w:rsid w:val="703D085C"/>
    <w:rsid w:val="703F45D4"/>
    <w:rsid w:val="704E0CBB"/>
    <w:rsid w:val="70592EF1"/>
    <w:rsid w:val="705B0CE2"/>
    <w:rsid w:val="705D4B36"/>
    <w:rsid w:val="70672C5C"/>
    <w:rsid w:val="7073520F"/>
    <w:rsid w:val="707B1384"/>
    <w:rsid w:val="708404D0"/>
    <w:rsid w:val="70A1528F"/>
    <w:rsid w:val="70A2025E"/>
    <w:rsid w:val="70A408DB"/>
    <w:rsid w:val="70C17F98"/>
    <w:rsid w:val="70CE4DDF"/>
    <w:rsid w:val="70D0347E"/>
    <w:rsid w:val="70D2143C"/>
    <w:rsid w:val="70DD3639"/>
    <w:rsid w:val="70EE6E79"/>
    <w:rsid w:val="70F73101"/>
    <w:rsid w:val="70F76C5D"/>
    <w:rsid w:val="71033854"/>
    <w:rsid w:val="71080E6A"/>
    <w:rsid w:val="710B6BAC"/>
    <w:rsid w:val="71107D1F"/>
    <w:rsid w:val="71145A61"/>
    <w:rsid w:val="71303F5E"/>
    <w:rsid w:val="7157594D"/>
    <w:rsid w:val="715776FB"/>
    <w:rsid w:val="71687ABE"/>
    <w:rsid w:val="71704C61"/>
    <w:rsid w:val="71736146"/>
    <w:rsid w:val="71864485"/>
    <w:rsid w:val="718A39A6"/>
    <w:rsid w:val="718D2089"/>
    <w:rsid w:val="71AB66EE"/>
    <w:rsid w:val="721C3121"/>
    <w:rsid w:val="722241AD"/>
    <w:rsid w:val="723839D1"/>
    <w:rsid w:val="726C04E4"/>
    <w:rsid w:val="727B40A7"/>
    <w:rsid w:val="727D13E4"/>
    <w:rsid w:val="72A03324"/>
    <w:rsid w:val="72DB5F8B"/>
    <w:rsid w:val="72EB4614"/>
    <w:rsid w:val="72F43AE3"/>
    <w:rsid w:val="73091DE9"/>
    <w:rsid w:val="731F06ED"/>
    <w:rsid w:val="73201944"/>
    <w:rsid w:val="73306456"/>
    <w:rsid w:val="73561C1E"/>
    <w:rsid w:val="736425A4"/>
    <w:rsid w:val="73770529"/>
    <w:rsid w:val="73822049"/>
    <w:rsid w:val="73836DA0"/>
    <w:rsid w:val="7399049F"/>
    <w:rsid w:val="73EA0CFB"/>
    <w:rsid w:val="742A10F7"/>
    <w:rsid w:val="74366242"/>
    <w:rsid w:val="74390835"/>
    <w:rsid w:val="74393A30"/>
    <w:rsid w:val="743C0E2B"/>
    <w:rsid w:val="7443040B"/>
    <w:rsid w:val="74561EEC"/>
    <w:rsid w:val="74650381"/>
    <w:rsid w:val="748A7DE8"/>
    <w:rsid w:val="74AC7D5E"/>
    <w:rsid w:val="74AF1419"/>
    <w:rsid w:val="74B01EAD"/>
    <w:rsid w:val="74BD640F"/>
    <w:rsid w:val="74C0380A"/>
    <w:rsid w:val="74C57072"/>
    <w:rsid w:val="751122B7"/>
    <w:rsid w:val="75297601"/>
    <w:rsid w:val="75381CFD"/>
    <w:rsid w:val="75396923"/>
    <w:rsid w:val="754A353C"/>
    <w:rsid w:val="755F0D67"/>
    <w:rsid w:val="757139A8"/>
    <w:rsid w:val="75856EB5"/>
    <w:rsid w:val="75893930"/>
    <w:rsid w:val="759D0D09"/>
    <w:rsid w:val="75A5137D"/>
    <w:rsid w:val="75AC4355"/>
    <w:rsid w:val="75D02176"/>
    <w:rsid w:val="75D24B29"/>
    <w:rsid w:val="75EC236C"/>
    <w:rsid w:val="75ED4AD2"/>
    <w:rsid w:val="75F27C3C"/>
    <w:rsid w:val="75F55735"/>
    <w:rsid w:val="75FE283B"/>
    <w:rsid w:val="76051E1C"/>
    <w:rsid w:val="760F4A49"/>
    <w:rsid w:val="7610431D"/>
    <w:rsid w:val="7614205F"/>
    <w:rsid w:val="7625234E"/>
    <w:rsid w:val="762D1373"/>
    <w:rsid w:val="76404C02"/>
    <w:rsid w:val="765C54A6"/>
    <w:rsid w:val="769136B0"/>
    <w:rsid w:val="76932DB3"/>
    <w:rsid w:val="76A76A7D"/>
    <w:rsid w:val="76B80C3C"/>
    <w:rsid w:val="76BD2C29"/>
    <w:rsid w:val="76C05D43"/>
    <w:rsid w:val="76D812DE"/>
    <w:rsid w:val="76E618C8"/>
    <w:rsid w:val="76ED481A"/>
    <w:rsid w:val="76F413D8"/>
    <w:rsid w:val="771A42A0"/>
    <w:rsid w:val="77440722"/>
    <w:rsid w:val="77456248"/>
    <w:rsid w:val="774D7DB1"/>
    <w:rsid w:val="775C3CBE"/>
    <w:rsid w:val="778D7592"/>
    <w:rsid w:val="779276DF"/>
    <w:rsid w:val="7793453E"/>
    <w:rsid w:val="77A46F0B"/>
    <w:rsid w:val="77BA6C36"/>
    <w:rsid w:val="77DE2925"/>
    <w:rsid w:val="77E31FB8"/>
    <w:rsid w:val="77E629A3"/>
    <w:rsid w:val="77F967D4"/>
    <w:rsid w:val="77FA34D6"/>
    <w:rsid w:val="77FA5D85"/>
    <w:rsid w:val="77FE3051"/>
    <w:rsid w:val="7803238B"/>
    <w:rsid w:val="780879A1"/>
    <w:rsid w:val="781D0955"/>
    <w:rsid w:val="78306EF8"/>
    <w:rsid w:val="78372035"/>
    <w:rsid w:val="785901FD"/>
    <w:rsid w:val="78656868"/>
    <w:rsid w:val="786E7C65"/>
    <w:rsid w:val="78947487"/>
    <w:rsid w:val="78A26AF3"/>
    <w:rsid w:val="78B84F4A"/>
    <w:rsid w:val="78C0027C"/>
    <w:rsid w:val="78CC4E73"/>
    <w:rsid w:val="78CD346B"/>
    <w:rsid w:val="78F74CE4"/>
    <w:rsid w:val="78FB3062"/>
    <w:rsid w:val="78FE478C"/>
    <w:rsid w:val="79022643"/>
    <w:rsid w:val="79077C59"/>
    <w:rsid w:val="790F6B0E"/>
    <w:rsid w:val="79183C14"/>
    <w:rsid w:val="7959575E"/>
    <w:rsid w:val="795F1843"/>
    <w:rsid w:val="79766B8D"/>
    <w:rsid w:val="797A042B"/>
    <w:rsid w:val="797F1EE5"/>
    <w:rsid w:val="798273D9"/>
    <w:rsid w:val="798F7942"/>
    <w:rsid w:val="79935991"/>
    <w:rsid w:val="79A42F5C"/>
    <w:rsid w:val="79AD1FFF"/>
    <w:rsid w:val="79C21DD2"/>
    <w:rsid w:val="79D27FA4"/>
    <w:rsid w:val="79F17474"/>
    <w:rsid w:val="7A04063C"/>
    <w:rsid w:val="7A2F605F"/>
    <w:rsid w:val="7A2F65AA"/>
    <w:rsid w:val="7A392094"/>
    <w:rsid w:val="7A3973E9"/>
    <w:rsid w:val="7A3D2585"/>
    <w:rsid w:val="7A4D1FE3"/>
    <w:rsid w:val="7A5B24AB"/>
    <w:rsid w:val="7A7E3F4B"/>
    <w:rsid w:val="7A8E594F"/>
    <w:rsid w:val="7A97500D"/>
    <w:rsid w:val="7A992B33"/>
    <w:rsid w:val="7AA31C03"/>
    <w:rsid w:val="7AAF05A8"/>
    <w:rsid w:val="7AC322A6"/>
    <w:rsid w:val="7ADB139D"/>
    <w:rsid w:val="7ADC37FF"/>
    <w:rsid w:val="7ADE0E8D"/>
    <w:rsid w:val="7AF30181"/>
    <w:rsid w:val="7B0703E4"/>
    <w:rsid w:val="7B114DBF"/>
    <w:rsid w:val="7B187EFC"/>
    <w:rsid w:val="7B195F1B"/>
    <w:rsid w:val="7B223D6B"/>
    <w:rsid w:val="7B31720F"/>
    <w:rsid w:val="7B3960C4"/>
    <w:rsid w:val="7B3E36DA"/>
    <w:rsid w:val="7B580C1C"/>
    <w:rsid w:val="7B9308B8"/>
    <w:rsid w:val="7B935E6D"/>
    <w:rsid w:val="7B9B1144"/>
    <w:rsid w:val="7BAE7E54"/>
    <w:rsid w:val="7BB44B09"/>
    <w:rsid w:val="7BB816DF"/>
    <w:rsid w:val="7BCE4A5E"/>
    <w:rsid w:val="7BD83B2F"/>
    <w:rsid w:val="7BEF6D51"/>
    <w:rsid w:val="7BF07693"/>
    <w:rsid w:val="7BFC2078"/>
    <w:rsid w:val="7C0466D2"/>
    <w:rsid w:val="7C26738C"/>
    <w:rsid w:val="7C490589"/>
    <w:rsid w:val="7C547659"/>
    <w:rsid w:val="7C727ADF"/>
    <w:rsid w:val="7C855A65"/>
    <w:rsid w:val="7C976802"/>
    <w:rsid w:val="7CA25995"/>
    <w:rsid w:val="7CA51C63"/>
    <w:rsid w:val="7CAF663E"/>
    <w:rsid w:val="7CB5279E"/>
    <w:rsid w:val="7CB974BC"/>
    <w:rsid w:val="7CD6006E"/>
    <w:rsid w:val="7CEC5AE4"/>
    <w:rsid w:val="7CEF2EDE"/>
    <w:rsid w:val="7D083FA0"/>
    <w:rsid w:val="7D142945"/>
    <w:rsid w:val="7D3D1E9B"/>
    <w:rsid w:val="7D545437"/>
    <w:rsid w:val="7D6A4C5A"/>
    <w:rsid w:val="7D8201F6"/>
    <w:rsid w:val="7D856BD5"/>
    <w:rsid w:val="7D9879F5"/>
    <w:rsid w:val="7DBA173E"/>
    <w:rsid w:val="7DBC0B9A"/>
    <w:rsid w:val="7DC80377"/>
    <w:rsid w:val="7DCB3A96"/>
    <w:rsid w:val="7DD345AE"/>
    <w:rsid w:val="7DDD542C"/>
    <w:rsid w:val="7E4234E1"/>
    <w:rsid w:val="7E590F57"/>
    <w:rsid w:val="7E631DD5"/>
    <w:rsid w:val="7E7933A7"/>
    <w:rsid w:val="7E843AFA"/>
    <w:rsid w:val="7E8458A8"/>
    <w:rsid w:val="7E8B30DA"/>
    <w:rsid w:val="7E8E6727"/>
    <w:rsid w:val="7E924469"/>
    <w:rsid w:val="7EA36676"/>
    <w:rsid w:val="7EAE4CFC"/>
    <w:rsid w:val="7EAE5C52"/>
    <w:rsid w:val="7EB53C58"/>
    <w:rsid w:val="7EBB6578"/>
    <w:rsid w:val="7ECD36F3"/>
    <w:rsid w:val="7ECD724F"/>
    <w:rsid w:val="7ED666D5"/>
    <w:rsid w:val="7EEA337E"/>
    <w:rsid w:val="7EFF79DD"/>
    <w:rsid w:val="7F046269"/>
    <w:rsid w:val="7F1103A8"/>
    <w:rsid w:val="7F2D5F40"/>
    <w:rsid w:val="7F361298"/>
    <w:rsid w:val="7F3D0D4A"/>
    <w:rsid w:val="7F4A782C"/>
    <w:rsid w:val="7F4C286A"/>
    <w:rsid w:val="7F5B7466"/>
    <w:rsid w:val="7F6779F6"/>
    <w:rsid w:val="7F6E0A32"/>
    <w:rsid w:val="7F710522"/>
    <w:rsid w:val="7F7678E7"/>
    <w:rsid w:val="7F7C6A7B"/>
    <w:rsid w:val="7F9A1827"/>
    <w:rsid w:val="7FBB22A5"/>
    <w:rsid w:val="7FC74720"/>
    <w:rsid w:val="7FD91C23"/>
    <w:rsid w:val="7FDB2211"/>
    <w:rsid w:val="7FDB3BED"/>
    <w:rsid w:val="7FF37189"/>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ind w:firstLine="200" w:firstLineChars="200"/>
    </w:pPr>
    <w:rPr>
      <w:rFonts w:ascii="仿宋_GB2312" w:eastAsia="仿宋_GB2312"/>
    </w:rPr>
  </w:style>
  <w:style w:type="paragraph" w:styleId="3">
    <w:name w:val="Body Text"/>
    <w:basedOn w:val="1"/>
    <w:qFormat/>
    <w:uiPriority w:val="0"/>
    <w:pPr>
      <w:spacing w:after="140" w:line="276" w:lineRule="auto"/>
    </w:pPr>
  </w:style>
  <w:style w:type="paragraph" w:styleId="4">
    <w:name w:val="Body Text Indent"/>
    <w:basedOn w:val="1"/>
    <w:next w:val="5"/>
    <w:qFormat/>
    <w:uiPriority w:val="99"/>
    <w:pPr>
      <w:ind w:left="420" w:leftChars="200"/>
    </w:pPr>
    <w:rPr>
      <w:rFonts w:ascii="Times New Roman" w:hAnsi="Times New Roman"/>
    </w:rPr>
  </w:style>
  <w:style w:type="paragraph" w:styleId="5">
    <w:name w:val="Body Text First Indent 2"/>
    <w:basedOn w:val="4"/>
    <w:next w:val="1"/>
    <w:qFormat/>
    <w:uiPriority w:val="99"/>
    <w:pPr>
      <w:ind w:left="0" w:leftChars="0" w:firstLine="640" w:firstLineChars="200"/>
    </w:pPr>
    <w:rPr>
      <w:rFonts w:eastAsia="仿宋_GB2312"/>
      <w:sz w:val="32"/>
    </w:rPr>
  </w:style>
  <w:style w:type="paragraph" w:styleId="6">
    <w:name w:val="Balloon Text"/>
    <w:basedOn w:val="1"/>
    <w:link w:val="16"/>
    <w:semiHidden/>
    <w:unhideWhenUsed/>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footnote text"/>
    <w:basedOn w:val="1"/>
    <w:link w:val="17"/>
    <w:qFormat/>
    <w:uiPriority w:val="0"/>
    <w:pPr>
      <w:snapToGrid w:val="0"/>
      <w:jc w:val="left"/>
    </w:p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3">
    <w:name w:val="Strong"/>
    <w:basedOn w:val="12"/>
    <w:qFormat/>
    <w:uiPriority w:val="0"/>
    <w:rPr>
      <w:b/>
    </w:rPr>
  </w:style>
  <w:style w:type="character" w:styleId="14">
    <w:name w:val="page number"/>
    <w:basedOn w:val="12"/>
    <w:qFormat/>
    <w:uiPriority w:val="0"/>
  </w:style>
  <w:style w:type="character" w:styleId="15">
    <w:name w:val="Emphasis"/>
    <w:basedOn w:val="12"/>
    <w:qFormat/>
    <w:uiPriority w:val="0"/>
    <w:rPr>
      <w:i/>
    </w:rPr>
  </w:style>
  <w:style w:type="character" w:customStyle="1" w:styleId="16">
    <w:name w:val="批注框文本 字符"/>
    <w:basedOn w:val="12"/>
    <w:link w:val="6"/>
    <w:semiHidden/>
    <w:qFormat/>
    <w:uiPriority w:val="0"/>
    <w:rPr>
      <w:rFonts w:ascii="Times New Roman" w:hAnsi="Times New Roman" w:eastAsia="宋体"/>
      <w:kern w:val="2"/>
      <w:sz w:val="18"/>
      <w:szCs w:val="18"/>
    </w:rPr>
  </w:style>
  <w:style w:type="character" w:customStyle="1" w:styleId="17">
    <w:name w:val="脚注文本 字符"/>
    <w:basedOn w:val="12"/>
    <w:link w:val="9"/>
    <w:qFormat/>
    <w:uiPriority w:val="0"/>
    <w:rPr>
      <w:kern w:val="2"/>
      <w:sz w:val="21"/>
      <w:szCs w:val="24"/>
    </w:rPr>
  </w:style>
  <w:style w:type="character" w:customStyle="1" w:styleId="18">
    <w:name w:val="页脚 字符"/>
    <w:basedOn w:val="12"/>
    <w:link w:val="7"/>
    <w:qFormat/>
    <w:uiPriority w:val="99"/>
    <w:rPr>
      <w:kern w:val="2"/>
      <w:sz w:val="18"/>
      <w:szCs w:val="18"/>
    </w:rPr>
  </w:style>
  <w:style w:type="paragraph" w:styleId="19">
    <w:name w:val="List Paragraph"/>
    <w:basedOn w:val="1"/>
    <w:unhideWhenUsed/>
    <w:qFormat/>
    <w:uiPriority w:val="99"/>
    <w:pPr>
      <w:ind w:firstLine="420" w:firstLineChars="200"/>
    </w:pPr>
  </w:style>
  <w:style w:type="character" w:customStyle="1" w:styleId="20">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30</Pages>
  <Words>14098</Words>
  <Characters>17133</Characters>
  <Lines>119</Lines>
  <Paragraphs>33</Paragraphs>
  <TotalTime>9</TotalTime>
  <ScaleCrop>false</ScaleCrop>
  <LinksUpToDate>false</LinksUpToDate>
  <CharactersWithSpaces>17730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2021-02-08T01:45:00Z</dcterms:created>
  <dc:creator>Administrator</dc:creator>
  <cp:lastModifiedBy>0℃</cp:lastModifiedBy>
  <cp:lastPrinted>2022-02-09T05:30:00Z</cp:lastPrinted>
  <dcterms:modified xsi:type="dcterms:W3CDTF">2025-03-12T08:38:34Z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0C475848ED874ABB81E741DEE2DC40C3</vt:lpwstr>
  </property>
</Properties>
</file>