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500" w:lineRule="exact"/>
        <w:jc w:val="center"/>
        <w:textAlignment w:val="auto"/>
        <w:rPr>
          <w:rFonts w:hint="eastAsia" w:ascii="方正小标宋简体" w:hAnsi="方正小标宋简体" w:eastAsia="方正小标宋简体" w:cs="方正小标宋简体"/>
          <w:b w:val="0"/>
          <w:bCs w:val="0"/>
          <w:color w:val="auto"/>
          <w:spacing w:val="-6"/>
          <w:kern w:val="2"/>
          <w:sz w:val="44"/>
          <w:szCs w:val="44"/>
          <w:lang w:val="en-US" w:eastAsia="zh-CN"/>
        </w:rPr>
      </w:pPr>
      <w:r>
        <w:rPr>
          <w:rFonts w:hint="eastAsia" w:ascii="方正小标宋简体" w:hAnsi="方正小标宋简体" w:eastAsia="方正小标宋简体" w:cs="方正小标宋简体"/>
          <w:b w:val="0"/>
          <w:bCs w:val="0"/>
          <w:color w:val="auto"/>
          <w:spacing w:val="-6"/>
          <w:kern w:val="2"/>
          <w:sz w:val="44"/>
          <w:szCs w:val="44"/>
          <w:lang w:val="en-US" w:eastAsia="zh-CN"/>
        </w:rPr>
        <w:t>关于2022年秭归县部分财政支出项目</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jc w:val="center"/>
        <w:textAlignment w:val="auto"/>
        <w:rPr>
          <w:rFonts w:hint="eastAsia" w:ascii="方正小标宋简体" w:hAnsi="方正小标宋简体" w:eastAsia="方正小标宋简体" w:cs="方正小标宋简体"/>
          <w:b w:val="0"/>
          <w:bCs w:val="0"/>
          <w:color w:val="auto"/>
          <w:spacing w:val="-6"/>
          <w:kern w:val="2"/>
          <w:sz w:val="44"/>
          <w:szCs w:val="44"/>
          <w:lang w:val="en-US" w:eastAsia="zh-CN"/>
        </w:rPr>
      </w:pPr>
      <w:r>
        <w:rPr>
          <w:rFonts w:hint="eastAsia" w:ascii="方正小标宋简体" w:hAnsi="方正小标宋简体" w:eastAsia="方正小标宋简体" w:cs="方正小标宋简体"/>
          <w:b w:val="0"/>
          <w:bCs w:val="0"/>
          <w:color w:val="auto"/>
          <w:spacing w:val="-6"/>
          <w:kern w:val="2"/>
          <w:sz w:val="44"/>
          <w:szCs w:val="44"/>
          <w:lang w:val="en-US" w:eastAsia="zh-CN"/>
        </w:rPr>
        <w:t>绩效评价情况的说明</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jc w:val="left"/>
        <w:textAlignment w:val="auto"/>
        <w:rPr>
          <w:rFonts w:hint="eastAsia" w:asciiTheme="majorEastAsia" w:hAnsiTheme="majorEastAsia" w:eastAsiaTheme="majorEastAsia" w:cstheme="majorEastAsia"/>
          <w:b w:val="0"/>
          <w:bCs w:val="0"/>
          <w:color w:val="auto"/>
          <w:spacing w:val="-6"/>
          <w:kern w:val="2"/>
          <w:sz w:val="44"/>
          <w:szCs w:val="44"/>
          <w:lang w:val="en-US" w:eastAsia="zh-CN"/>
        </w:rPr>
      </w:pPr>
    </w:p>
    <w:p>
      <w:pPr>
        <w:keepNext w:val="0"/>
        <w:keepLines w:val="0"/>
        <w:pageBreakBefore w:val="0"/>
        <w:widowControl/>
        <w:kinsoku/>
        <w:wordWrap/>
        <w:overflowPunct/>
        <w:topLinePunct w:val="0"/>
        <w:autoSpaceDE/>
        <w:autoSpaceDN/>
        <w:bidi w:val="0"/>
        <w:adjustRightInd/>
        <w:snapToGrid/>
        <w:spacing w:line="500" w:lineRule="exact"/>
        <w:ind w:firstLine="632"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秭归县积极组织全县所有单位开展发展类项目绩效自评，实现绩效自主覆盖100%。认真组织开展重点项目绩效评价，聘请专业第三方机构对部分项目进行重点评价。我县通过科学出具评价报告、全面分析评价结果、强化绩效评价结果应用，使得财政资金使用效益显著提升。现将6个项目的财政评价结果公开如下：</w:t>
      </w:r>
    </w:p>
    <w:p>
      <w:pPr>
        <w:keepNext w:val="0"/>
        <w:keepLines w:val="0"/>
        <w:pageBreakBefore w:val="0"/>
        <w:widowControl/>
        <w:kinsoku/>
        <w:wordWrap/>
        <w:overflowPunct/>
        <w:topLinePunct w:val="0"/>
        <w:autoSpaceDE/>
        <w:autoSpaceDN/>
        <w:bidi w:val="0"/>
        <w:adjustRightInd/>
        <w:snapToGrid/>
        <w:spacing w:line="500" w:lineRule="exact"/>
        <w:ind w:left="1580" w:leftChars="200" w:hanging="948" w:hangingChars="3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附件：1.2022年度西阳坪村、三渡河村公路硬化项目财政评价结果</w:t>
      </w:r>
    </w:p>
    <w:p>
      <w:pPr>
        <w:keepNext w:val="0"/>
        <w:keepLines w:val="0"/>
        <w:pageBreakBefore w:val="0"/>
        <w:numPr>
          <w:ilvl w:val="0"/>
          <w:numId w:val="0"/>
        </w:numPr>
        <w:kinsoku/>
        <w:wordWrap/>
        <w:overflowPunct/>
        <w:topLinePunct w:val="0"/>
        <w:autoSpaceDE/>
        <w:autoSpaceDN/>
        <w:bidi w:val="0"/>
        <w:adjustRightInd/>
        <w:snapToGrid/>
        <w:spacing w:line="500" w:lineRule="exact"/>
        <w:ind w:left="1579" w:leftChars="0"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kern w:val="2"/>
          <w:sz w:val="32"/>
          <w:szCs w:val="32"/>
          <w:lang w:val="en-US" w:eastAsia="zh-CN" w:bidi="ar-SA"/>
        </w:rPr>
        <w:t>2.2022年度</w:t>
      </w:r>
      <w:r>
        <w:rPr>
          <w:rFonts w:hint="eastAsia" w:ascii="仿宋" w:hAnsi="仿宋" w:eastAsia="仿宋" w:cs="仿宋"/>
          <w:color w:val="auto"/>
          <w:sz w:val="32"/>
          <w:szCs w:val="32"/>
          <w:lang w:val="en-US" w:eastAsia="zh-CN"/>
        </w:rPr>
        <w:t>杨林桥镇畜禽粪污资源化利用项目财政评价结果</w:t>
      </w:r>
    </w:p>
    <w:p>
      <w:pPr>
        <w:keepNext w:val="0"/>
        <w:keepLines w:val="0"/>
        <w:pageBreakBefore w:val="0"/>
        <w:numPr>
          <w:ilvl w:val="0"/>
          <w:numId w:val="0"/>
        </w:numPr>
        <w:kinsoku/>
        <w:wordWrap/>
        <w:overflowPunct/>
        <w:topLinePunct w:val="0"/>
        <w:autoSpaceDE/>
        <w:autoSpaceDN/>
        <w:bidi w:val="0"/>
        <w:adjustRightInd/>
        <w:snapToGrid/>
        <w:spacing w:line="500" w:lineRule="exact"/>
        <w:ind w:left="1579" w:leftChars="0" w:firstLine="0" w:firstLineChars="0"/>
        <w:jc w:val="left"/>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sz w:val="32"/>
          <w:szCs w:val="32"/>
          <w:lang w:val="en-US" w:eastAsia="zh-CN"/>
        </w:rPr>
        <w:t>3.</w:t>
      </w:r>
      <w:r>
        <w:rPr>
          <w:rFonts w:hint="eastAsia" w:ascii="仿宋" w:hAnsi="仿宋" w:eastAsia="仿宋" w:cs="仿宋"/>
          <w:color w:val="auto"/>
          <w:kern w:val="2"/>
          <w:sz w:val="32"/>
          <w:szCs w:val="32"/>
          <w:lang w:val="en-US" w:eastAsia="zh-CN" w:bidi="ar-SA"/>
        </w:rPr>
        <w:t>2022年度白鹤洞村烤烟配套设施项目财政评价结果</w:t>
      </w:r>
    </w:p>
    <w:p>
      <w:pPr>
        <w:keepNext w:val="0"/>
        <w:keepLines w:val="0"/>
        <w:pageBreakBefore w:val="0"/>
        <w:numPr>
          <w:ilvl w:val="0"/>
          <w:numId w:val="0"/>
        </w:numPr>
        <w:kinsoku/>
        <w:wordWrap/>
        <w:overflowPunct/>
        <w:topLinePunct w:val="0"/>
        <w:autoSpaceDE/>
        <w:autoSpaceDN/>
        <w:bidi w:val="0"/>
        <w:adjustRightInd/>
        <w:snapToGrid/>
        <w:spacing w:line="500" w:lineRule="exact"/>
        <w:ind w:left="1579" w:leftChars="0" w:firstLine="0" w:firstLineChars="0"/>
        <w:jc w:val="left"/>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4.2022年度云峰村中药材加工项目财政评价结果</w:t>
      </w:r>
    </w:p>
    <w:p>
      <w:pPr>
        <w:keepNext w:val="0"/>
        <w:keepLines w:val="0"/>
        <w:pageBreakBefore w:val="0"/>
        <w:numPr>
          <w:ilvl w:val="0"/>
          <w:numId w:val="0"/>
        </w:numPr>
        <w:kinsoku/>
        <w:wordWrap/>
        <w:overflowPunct/>
        <w:topLinePunct w:val="0"/>
        <w:autoSpaceDE/>
        <w:autoSpaceDN/>
        <w:bidi w:val="0"/>
        <w:adjustRightInd/>
        <w:snapToGrid/>
        <w:spacing w:line="500" w:lineRule="exact"/>
        <w:ind w:left="1579" w:leftChars="0" w:firstLine="0" w:firstLineChars="0"/>
        <w:jc w:val="left"/>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5.2022年度社会养老服务体系项目财政评价结果</w:t>
      </w:r>
    </w:p>
    <w:p>
      <w:pPr>
        <w:keepNext w:val="0"/>
        <w:keepLines w:val="0"/>
        <w:pageBreakBefore w:val="0"/>
        <w:numPr>
          <w:ilvl w:val="0"/>
          <w:numId w:val="0"/>
        </w:numPr>
        <w:kinsoku/>
        <w:wordWrap/>
        <w:overflowPunct/>
        <w:topLinePunct w:val="0"/>
        <w:autoSpaceDE/>
        <w:autoSpaceDN/>
        <w:bidi w:val="0"/>
        <w:adjustRightInd/>
        <w:snapToGrid/>
        <w:spacing w:line="500" w:lineRule="exact"/>
        <w:ind w:left="1579" w:leftChars="0" w:firstLine="0" w:firstLineChars="0"/>
        <w:jc w:val="left"/>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6.2022年度残疾人保障金项目财政评价结果</w:t>
      </w:r>
    </w:p>
    <w:p>
      <w:pPr>
        <w:keepNext w:val="0"/>
        <w:keepLines w:val="0"/>
        <w:pageBreakBefore w:val="0"/>
        <w:numPr>
          <w:ilvl w:val="0"/>
          <w:numId w:val="0"/>
        </w:numPr>
        <w:kinsoku/>
        <w:wordWrap/>
        <w:overflowPunct/>
        <w:topLinePunct w:val="0"/>
        <w:autoSpaceDE/>
        <w:autoSpaceDN/>
        <w:bidi w:val="0"/>
        <w:adjustRightInd/>
        <w:snapToGrid/>
        <w:spacing w:line="500" w:lineRule="exact"/>
        <w:ind w:left="1579" w:leftChars="0" w:firstLine="0" w:firstLineChars="0"/>
        <w:jc w:val="left"/>
        <w:textAlignment w:val="auto"/>
        <w:rPr>
          <w:rFonts w:hint="default" w:ascii="仿宋" w:hAnsi="仿宋" w:eastAsia="仿宋" w:cs="仿宋"/>
          <w:color w:val="auto"/>
          <w:kern w:val="2"/>
          <w:sz w:val="32"/>
          <w:szCs w:val="32"/>
          <w:lang w:val="en-US" w:eastAsia="zh-CN" w:bidi="ar-SA"/>
        </w:rPr>
      </w:pPr>
    </w:p>
    <w:p>
      <w:pPr>
        <w:keepNext w:val="0"/>
        <w:keepLines w:val="0"/>
        <w:pageBreakBefore w:val="0"/>
        <w:numPr>
          <w:ilvl w:val="0"/>
          <w:numId w:val="0"/>
        </w:numPr>
        <w:kinsoku/>
        <w:wordWrap/>
        <w:overflowPunct/>
        <w:topLinePunct w:val="0"/>
        <w:autoSpaceDE/>
        <w:autoSpaceDN/>
        <w:bidi w:val="0"/>
        <w:adjustRightInd/>
        <w:snapToGrid/>
        <w:spacing w:line="500" w:lineRule="exact"/>
        <w:ind w:left="1579" w:leftChars="0" w:firstLine="0" w:firstLineChars="0"/>
        <w:jc w:val="left"/>
        <w:textAlignment w:val="auto"/>
        <w:rPr>
          <w:rFonts w:hint="default" w:ascii="仿宋" w:hAnsi="仿宋" w:eastAsia="仿宋" w:cs="仿宋"/>
          <w:color w:val="auto"/>
          <w:kern w:val="2"/>
          <w:sz w:val="32"/>
          <w:szCs w:val="32"/>
          <w:lang w:val="en-US" w:eastAsia="zh-CN" w:bidi="ar-SA"/>
        </w:rPr>
      </w:pPr>
    </w:p>
    <w:p>
      <w:pPr>
        <w:keepNext w:val="0"/>
        <w:keepLines w:val="0"/>
        <w:pageBreakBefore w:val="0"/>
        <w:widowControl/>
        <w:kinsoku/>
        <w:wordWrap/>
        <w:overflowPunct/>
        <w:topLinePunct w:val="0"/>
        <w:autoSpaceDE/>
        <w:autoSpaceDN/>
        <w:bidi w:val="0"/>
        <w:adjustRightInd/>
        <w:snapToGrid/>
        <w:spacing w:line="500" w:lineRule="exact"/>
        <w:ind w:firstLine="632" w:firstLineChars="200"/>
        <w:jc w:val="both"/>
        <w:textAlignment w:val="auto"/>
        <w:rPr>
          <w:rFonts w:hint="default" w:ascii="仿宋" w:hAnsi="仿宋" w:eastAsia="仿宋" w:cs="仿宋"/>
          <w:color w:val="auto"/>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00" w:lineRule="exact"/>
        <w:ind w:firstLine="632" w:firstLineChars="200"/>
        <w:jc w:val="both"/>
        <w:textAlignment w:val="auto"/>
        <w:rPr>
          <w:rFonts w:hint="default" w:ascii="仿宋" w:hAnsi="仿宋" w:eastAsia="仿宋" w:cs="仿宋"/>
          <w:color w:val="auto"/>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00" w:lineRule="exact"/>
        <w:ind w:firstLine="632" w:firstLineChars="200"/>
        <w:jc w:val="both"/>
        <w:textAlignment w:val="auto"/>
        <w:rPr>
          <w:rFonts w:hint="default" w:ascii="仿宋" w:hAnsi="仿宋" w:eastAsia="仿宋" w:cs="仿宋"/>
          <w:color w:val="auto"/>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00" w:lineRule="exact"/>
        <w:ind w:firstLine="632" w:firstLineChars="200"/>
        <w:jc w:val="both"/>
        <w:textAlignment w:val="auto"/>
        <w:rPr>
          <w:rFonts w:hint="default" w:ascii="仿宋" w:hAnsi="仿宋" w:eastAsia="仿宋" w:cs="仿宋"/>
          <w:color w:val="auto"/>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00" w:lineRule="exact"/>
        <w:ind w:firstLine="632" w:firstLineChars="200"/>
        <w:jc w:val="both"/>
        <w:textAlignment w:val="auto"/>
        <w:rPr>
          <w:rFonts w:hint="default"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jc w:val="left"/>
        <w:textAlignment w:val="auto"/>
        <w:rPr>
          <w:rFonts w:hint="eastAsia" w:asciiTheme="majorEastAsia" w:hAnsiTheme="majorEastAsia" w:eastAsiaTheme="majorEastAsia" w:cstheme="majorEastAsia"/>
          <w:b w:val="0"/>
          <w:bCs w:val="0"/>
          <w:color w:val="auto"/>
          <w:spacing w:val="-6"/>
          <w:kern w:val="2"/>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jc w:val="left"/>
        <w:textAlignment w:val="auto"/>
        <w:rPr>
          <w:rFonts w:hint="eastAsia" w:asciiTheme="majorEastAsia" w:hAnsiTheme="majorEastAsia" w:eastAsiaTheme="majorEastAsia" w:cstheme="majorEastAsia"/>
          <w:b w:val="0"/>
          <w:bCs w:val="0"/>
          <w:color w:val="auto"/>
          <w:spacing w:val="-6"/>
          <w:kern w:val="2"/>
          <w:sz w:val="44"/>
          <w:szCs w:val="44"/>
          <w:lang w:val="en-US" w:eastAsia="zh-CN"/>
        </w:rPr>
      </w:pPr>
      <w:r>
        <w:rPr>
          <w:rFonts w:hint="eastAsia" w:asciiTheme="majorEastAsia" w:hAnsiTheme="majorEastAsia" w:eastAsiaTheme="majorEastAsia" w:cstheme="majorEastAsia"/>
          <w:b w:val="0"/>
          <w:bCs w:val="0"/>
          <w:color w:val="auto"/>
          <w:spacing w:val="-6"/>
          <w:kern w:val="2"/>
          <w:sz w:val="44"/>
          <w:szCs w:val="44"/>
          <w:lang w:val="en-US" w:eastAsia="zh-CN"/>
        </w:rPr>
        <w:t>附件一：</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jc w:val="center"/>
        <w:textAlignment w:val="auto"/>
        <w:rPr>
          <w:rFonts w:hint="eastAsia" w:ascii="方正小标宋简体" w:hAnsi="方正小标宋简体" w:eastAsia="方正小标宋简体" w:cs="方正小标宋简体"/>
          <w:b w:val="0"/>
          <w:bCs w:val="0"/>
          <w:color w:val="auto"/>
          <w:spacing w:val="-6"/>
          <w:kern w:val="2"/>
          <w:sz w:val="44"/>
          <w:szCs w:val="44"/>
          <w:lang w:val="en-US" w:eastAsia="zh-CN"/>
        </w:rPr>
      </w:pPr>
      <w:r>
        <w:rPr>
          <w:rFonts w:hint="eastAsia" w:ascii="方正小标宋简体" w:hAnsi="方正小标宋简体" w:eastAsia="方正小标宋简体" w:cs="方正小标宋简体"/>
          <w:b w:val="0"/>
          <w:bCs w:val="0"/>
          <w:color w:val="auto"/>
          <w:spacing w:val="-6"/>
          <w:kern w:val="2"/>
          <w:sz w:val="44"/>
          <w:szCs w:val="44"/>
          <w:lang w:eastAsia="zh-CN"/>
        </w:rPr>
        <w:t>2022年</w:t>
      </w:r>
      <w:r>
        <w:rPr>
          <w:rFonts w:hint="eastAsia" w:ascii="方正小标宋简体" w:hAnsi="方正小标宋简体" w:eastAsia="方正小标宋简体" w:cs="方正小标宋简体"/>
          <w:b w:val="0"/>
          <w:bCs w:val="0"/>
          <w:color w:val="auto"/>
          <w:spacing w:val="-6"/>
          <w:kern w:val="2"/>
          <w:sz w:val="44"/>
          <w:szCs w:val="44"/>
          <w:lang w:val="en-US" w:eastAsia="zh-CN"/>
        </w:rPr>
        <w:t>度西阳坪村、三渡河村公路硬化项目</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jc w:val="center"/>
        <w:textAlignment w:val="auto"/>
        <w:rPr>
          <w:rFonts w:hint="eastAsia" w:ascii="方正小标宋简体" w:hAnsi="方正小标宋简体" w:eastAsia="方正小标宋简体" w:cs="方正小标宋简体"/>
          <w:b w:val="0"/>
          <w:bCs w:val="0"/>
          <w:color w:val="auto"/>
          <w:spacing w:val="-6"/>
          <w:kern w:val="2"/>
          <w:sz w:val="44"/>
          <w:szCs w:val="44"/>
          <w:lang w:val="en-US"/>
        </w:rPr>
      </w:pPr>
      <w:r>
        <w:rPr>
          <w:rFonts w:hint="eastAsia" w:ascii="方正小标宋简体" w:hAnsi="方正小标宋简体" w:eastAsia="方正小标宋简体" w:cs="方正小标宋简体"/>
          <w:b w:val="0"/>
          <w:bCs w:val="0"/>
          <w:color w:val="auto"/>
          <w:spacing w:val="-6"/>
          <w:kern w:val="2"/>
          <w:sz w:val="44"/>
          <w:szCs w:val="44"/>
          <w:lang w:val="en-US" w:eastAsia="zh-CN"/>
        </w:rPr>
        <w:t>财政评价结果</w:t>
      </w:r>
    </w:p>
    <w:p>
      <w:pPr>
        <w:keepNext w:val="0"/>
        <w:keepLines w:val="0"/>
        <w:pageBreakBefore w:val="0"/>
        <w:widowControl/>
        <w:kinsoku/>
        <w:wordWrap/>
        <w:overflowPunct/>
        <w:topLinePunct w:val="0"/>
        <w:autoSpaceDE/>
        <w:autoSpaceDN/>
        <w:bidi w:val="0"/>
        <w:adjustRightInd/>
        <w:snapToGrid/>
        <w:spacing w:line="500" w:lineRule="exact"/>
        <w:ind w:firstLine="632" w:firstLineChars="200"/>
        <w:jc w:val="left"/>
        <w:textAlignment w:val="auto"/>
        <w:outlineLvl w:val="1"/>
        <w:rPr>
          <w:rFonts w:ascii="黑体" w:hAnsi="黑体" w:eastAsia="黑体" w:cs="黑体"/>
          <w:bCs/>
          <w:color w:val="auto"/>
          <w:sz w:val="32"/>
          <w:szCs w:val="32"/>
        </w:rPr>
      </w:pPr>
      <w:r>
        <w:rPr>
          <w:rFonts w:hint="eastAsia" w:ascii="黑体" w:hAnsi="黑体" w:eastAsia="黑体" w:cs="黑体"/>
          <w:bCs/>
          <w:color w:val="auto"/>
          <w:sz w:val="32"/>
          <w:szCs w:val="32"/>
        </w:rPr>
        <w:t>一、评价分数和等级</w:t>
      </w:r>
    </w:p>
    <w:p>
      <w:pPr>
        <w:pStyle w:val="10"/>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rPr>
          <w:rFonts w:ascii="仿宋" w:hAnsi="仿宋" w:eastAsia="仿宋" w:cs="仿宋"/>
          <w:color w:val="auto"/>
          <w:sz w:val="32"/>
          <w:szCs w:val="32"/>
        </w:rPr>
      </w:pPr>
      <w:r>
        <w:rPr>
          <w:rFonts w:hint="eastAsia" w:ascii="仿宋" w:hAnsi="仿宋" w:eastAsia="仿宋" w:cs="仿宋"/>
          <w:color w:val="auto"/>
          <w:sz w:val="32"/>
          <w:szCs w:val="32"/>
          <w:lang w:eastAsia="zh-CN"/>
        </w:rPr>
        <w:t>秭归县乡村振兴局2022年西阳坪村、三渡河村公路硬化项目</w:t>
      </w:r>
      <w:r>
        <w:rPr>
          <w:rFonts w:hint="eastAsia" w:ascii="仿宋" w:hAnsi="仿宋" w:eastAsia="仿宋" w:cs="仿宋"/>
          <w:color w:val="auto"/>
          <w:sz w:val="32"/>
          <w:szCs w:val="32"/>
        </w:rPr>
        <w:t>绩效评分为</w:t>
      </w:r>
      <w:r>
        <w:rPr>
          <w:rFonts w:hint="eastAsia" w:ascii="仿宋" w:hAnsi="仿宋" w:eastAsia="仿宋" w:cs="仿宋"/>
          <w:color w:val="auto"/>
          <w:sz w:val="32"/>
          <w:szCs w:val="32"/>
          <w:lang w:val="en-US" w:eastAsia="zh-CN"/>
        </w:rPr>
        <w:t>87.83</w:t>
      </w:r>
      <w:r>
        <w:rPr>
          <w:rFonts w:hint="eastAsia" w:ascii="仿宋" w:hAnsi="仿宋" w:eastAsia="仿宋" w:cs="仿宋"/>
          <w:color w:val="auto"/>
          <w:sz w:val="32"/>
          <w:szCs w:val="32"/>
        </w:rPr>
        <w:t>分,绩效等级为“</w:t>
      </w:r>
      <w:r>
        <w:rPr>
          <w:rFonts w:hint="eastAsia" w:ascii="仿宋" w:hAnsi="仿宋" w:eastAsia="仿宋" w:cs="仿宋"/>
          <w:color w:val="auto"/>
          <w:sz w:val="32"/>
          <w:szCs w:val="32"/>
          <w:lang w:val="en-US" w:eastAsia="zh-CN"/>
        </w:rPr>
        <w:t>良</w:t>
      </w:r>
      <w:r>
        <w:rPr>
          <w:rFonts w:ascii="仿宋" w:hAnsi="仿宋" w:eastAsia="仿宋" w:cs="仿宋"/>
          <w:color w:val="auto"/>
          <w:sz w:val="32"/>
          <w:szCs w:val="32"/>
        </w:rPr>
        <w:t>”</w:t>
      </w:r>
      <w:r>
        <w:rPr>
          <w:rFonts w:hint="eastAsia" w:ascii="仿宋" w:hAnsi="仿宋" w:eastAsia="仿宋" w:cs="仿宋"/>
          <w:color w:val="auto"/>
          <w:sz w:val="32"/>
          <w:szCs w:val="32"/>
        </w:rPr>
        <w:t>。</w:t>
      </w:r>
    </w:p>
    <w:p>
      <w:pPr>
        <w:pStyle w:val="10"/>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outlineLvl w:val="1"/>
        <w:rPr>
          <w:rFonts w:ascii="仿宋" w:hAnsi="仿宋" w:eastAsia="仿宋" w:cs="仿宋"/>
          <w:color w:val="auto"/>
          <w:sz w:val="32"/>
          <w:szCs w:val="32"/>
        </w:rPr>
      </w:pPr>
      <w:r>
        <w:rPr>
          <w:rFonts w:hint="eastAsia" w:ascii="黑体" w:hAnsi="黑体" w:eastAsia="黑体" w:cs="黑体"/>
          <w:color w:val="auto"/>
          <w:sz w:val="32"/>
          <w:szCs w:val="32"/>
        </w:rPr>
        <w:t>二、绩效目标完成情况分析</w:t>
      </w:r>
    </w:p>
    <w:p>
      <w:pPr>
        <w:pStyle w:val="10"/>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ascii="仿宋" w:hAnsi="仿宋" w:eastAsia="仿宋" w:cs="仿宋"/>
          <w:color w:val="auto"/>
          <w:sz w:val="32"/>
          <w:szCs w:val="32"/>
          <w:lang w:val="en-US" w:eastAsia="zh-CN"/>
        </w:rPr>
      </w:pPr>
      <w:r>
        <w:rPr>
          <w:rFonts w:hint="eastAsia" w:ascii="楷体" w:hAnsi="楷体" w:eastAsia="楷体" w:cs="楷体"/>
          <w:color w:val="auto"/>
          <w:sz w:val="32"/>
          <w:szCs w:val="32"/>
        </w:rPr>
        <w:t>（一）项目</w:t>
      </w:r>
      <w:r>
        <w:rPr>
          <w:rFonts w:hint="eastAsia" w:ascii="楷体" w:hAnsi="楷体" w:eastAsia="楷体" w:cs="楷体"/>
          <w:color w:val="auto"/>
          <w:sz w:val="32"/>
          <w:szCs w:val="32"/>
          <w:lang w:val="en-US" w:eastAsia="zh-CN"/>
        </w:rPr>
        <w:t>决策</w:t>
      </w:r>
      <w:r>
        <w:rPr>
          <w:rFonts w:hint="eastAsia" w:ascii="楷体" w:hAnsi="楷体" w:eastAsia="楷体" w:cs="楷体"/>
          <w:color w:val="auto"/>
          <w:sz w:val="32"/>
          <w:szCs w:val="32"/>
        </w:rPr>
        <w:t>。</w:t>
      </w:r>
      <w:r>
        <w:rPr>
          <w:rFonts w:hint="eastAsia" w:ascii="仿宋" w:hAnsi="仿宋" w:eastAsia="仿宋" w:cs="仿宋"/>
          <w:color w:val="auto"/>
          <w:sz w:val="32"/>
          <w:szCs w:val="32"/>
        </w:rPr>
        <w:t>权重</w:t>
      </w:r>
      <w:r>
        <w:rPr>
          <w:rFonts w:hint="eastAsia" w:ascii="仿宋" w:hAnsi="仿宋" w:eastAsia="仿宋" w:cs="仿宋"/>
          <w:color w:val="auto"/>
          <w:sz w:val="32"/>
          <w:szCs w:val="32"/>
          <w:lang w:val="en-US" w:eastAsia="zh-CN"/>
        </w:rPr>
        <w:t>21</w:t>
      </w:r>
      <w:r>
        <w:rPr>
          <w:rFonts w:hint="eastAsia" w:ascii="仿宋" w:hAnsi="仿宋" w:eastAsia="仿宋" w:cs="仿宋"/>
          <w:color w:val="auto"/>
          <w:sz w:val="32"/>
          <w:szCs w:val="32"/>
        </w:rPr>
        <w:t>分，得分</w:t>
      </w:r>
      <w:r>
        <w:rPr>
          <w:rFonts w:hint="eastAsia" w:ascii="仿宋" w:hAnsi="仿宋" w:eastAsia="仿宋" w:cs="仿宋"/>
          <w:color w:val="auto"/>
          <w:sz w:val="32"/>
          <w:szCs w:val="32"/>
          <w:lang w:val="en-US" w:eastAsia="zh-CN"/>
        </w:rPr>
        <w:t>19</w:t>
      </w:r>
      <w:r>
        <w:rPr>
          <w:rFonts w:hint="eastAsia" w:ascii="仿宋" w:hAnsi="仿宋" w:eastAsia="仿宋" w:cs="仿宋"/>
          <w:color w:val="auto"/>
          <w:sz w:val="32"/>
          <w:szCs w:val="32"/>
        </w:rPr>
        <w:t>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扣分2分</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主要扣分点在于项目绩效目标及预算编制指标，主要扣分原因为未设置项目成本指标。预算确定的工程量及投资额与实际不匹配，导致在施工过程中增加工程量及投资额</w:t>
      </w:r>
      <w:r>
        <w:rPr>
          <w:rFonts w:hint="eastAsia" w:ascii="仿宋" w:hAnsi="仿宋" w:eastAsia="仿宋" w:cs="仿宋"/>
          <w:color w:val="auto"/>
          <w:sz w:val="32"/>
          <w:szCs w:val="32"/>
          <w:lang w:eastAsia="zh-CN"/>
        </w:rPr>
        <w:t>。</w:t>
      </w:r>
    </w:p>
    <w:p>
      <w:pPr>
        <w:pStyle w:val="10"/>
        <w:keepNext w:val="0"/>
        <w:keepLines w:val="0"/>
        <w:pageBreakBefore w:val="0"/>
        <w:numPr>
          <w:ilvl w:val="0"/>
          <w:numId w:val="1"/>
        </w:numPr>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ascii="仿宋" w:hAnsi="仿宋" w:eastAsia="仿宋" w:cs="仿宋"/>
          <w:color w:val="auto"/>
          <w:sz w:val="32"/>
          <w:szCs w:val="32"/>
          <w:lang w:val="en-US" w:eastAsia="zh-CN"/>
        </w:rPr>
      </w:pPr>
      <w:r>
        <w:rPr>
          <w:rFonts w:hint="eastAsia" w:ascii="楷体" w:hAnsi="楷体" w:eastAsia="楷体" w:cs="楷体"/>
          <w:color w:val="auto"/>
          <w:sz w:val="32"/>
          <w:szCs w:val="32"/>
          <w:lang w:val="en-US" w:eastAsia="zh-CN"/>
        </w:rPr>
        <w:t>项目过程</w:t>
      </w:r>
      <w:r>
        <w:rPr>
          <w:rFonts w:hint="eastAsia" w:ascii="楷体" w:hAnsi="楷体" w:eastAsia="楷体" w:cs="楷体"/>
          <w:color w:val="auto"/>
          <w:sz w:val="32"/>
          <w:szCs w:val="32"/>
          <w:lang w:eastAsia="zh-CN"/>
        </w:rPr>
        <w:t>。</w:t>
      </w:r>
      <w:r>
        <w:rPr>
          <w:rFonts w:hint="eastAsia" w:ascii="仿宋" w:hAnsi="仿宋" w:eastAsia="仿宋" w:cs="仿宋"/>
          <w:color w:val="auto"/>
          <w:sz w:val="32"/>
          <w:szCs w:val="32"/>
          <w:lang w:val="en-US" w:eastAsia="zh-CN"/>
        </w:rPr>
        <w:t>权重19分，得分17分，扣分2分。主要扣分点在于项目实施指标，主要扣分原因为项目未按照政府集中采购目录实施方案的要求通过公开招标方式确认施工单位。项目建设合同中约定的质保金3%低于财政专项资金文件规定的5%。项目资料基本齐全，但未整理归档。</w:t>
      </w:r>
    </w:p>
    <w:p>
      <w:pPr>
        <w:pStyle w:val="10"/>
        <w:keepNext w:val="0"/>
        <w:keepLines w:val="0"/>
        <w:pageBreakBefore w:val="0"/>
        <w:numPr>
          <w:ilvl w:val="0"/>
          <w:numId w:val="1"/>
        </w:numPr>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lang w:val="en-US" w:eastAsia="zh-CN"/>
        </w:rPr>
      </w:pPr>
      <w:r>
        <w:rPr>
          <w:rFonts w:hint="eastAsia" w:ascii="楷体" w:hAnsi="楷体" w:eastAsia="楷体" w:cs="楷体"/>
          <w:color w:val="auto"/>
          <w:sz w:val="32"/>
          <w:szCs w:val="32"/>
          <w:lang w:val="en-US" w:eastAsia="zh-CN"/>
        </w:rPr>
        <w:t>项目产出</w:t>
      </w:r>
      <w:r>
        <w:rPr>
          <w:rFonts w:hint="eastAsia" w:ascii="楷体" w:hAnsi="楷体" w:eastAsia="楷体" w:cs="楷体"/>
          <w:color w:val="auto"/>
          <w:sz w:val="32"/>
          <w:szCs w:val="32"/>
        </w:rPr>
        <w:t>。</w:t>
      </w:r>
      <w:r>
        <w:rPr>
          <w:rFonts w:hint="eastAsia" w:ascii="仿宋" w:hAnsi="仿宋" w:eastAsia="仿宋" w:cs="仿宋"/>
          <w:color w:val="auto"/>
          <w:sz w:val="32"/>
          <w:szCs w:val="32"/>
        </w:rPr>
        <w:t>权重</w:t>
      </w:r>
      <w:r>
        <w:rPr>
          <w:rFonts w:hint="eastAsia" w:ascii="仿宋" w:hAnsi="仿宋" w:eastAsia="仿宋" w:cs="仿宋"/>
          <w:color w:val="auto"/>
          <w:sz w:val="32"/>
          <w:szCs w:val="32"/>
          <w:lang w:val="en-US" w:eastAsia="zh-CN"/>
        </w:rPr>
        <w:t>40</w:t>
      </w:r>
      <w:r>
        <w:rPr>
          <w:rFonts w:hint="eastAsia" w:ascii="仿宋" w:hAnsi="仿宋" w:eastAsia="仿宋" w:cs="仿宋"/>
          <w:color w:val="auto"/>
          <w:sz w:val="32"/>
          <w:szCs w:val="32"/>
        </w:rPr>
        <w:t>分，得分</w:t>
      </w:r>
      <w:r>
        <w:rPr>
          <w:rFonts w:hint="eastAsia" w:ascii="仿宋" w:hAnsi="仿宋" w:eastAsia="仿宋" w:cs="仿宋"/>
          <w:color w:val="auto"/>
          <w:sz w:val="32"/>
          <w:szCs w:val="32"/>
          <w:lang w:val="en-US" w:eastAsia="zh-CN"/>
        </w:rPr>
        <w:t>35</w:t>
      </w:r>
      <w:r>
        <w:rPr>
          <w:rFonts w:hint="eastAsia" w:ascii="仿宋" w:hAnsi="仿宋" w:eastAsia="仿宋" w:cs="仿宋"/>
          <w:color w:val="auto"/>
          <w:sz w:val="32"/>
          <w:szCs w:val="32"/>
        </w:rPr>
        <w:t>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扣分5分</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主要扣分点在于项目成本指标，主要扣分原因为因项目增加、变更导致项目实际成本超过合同价款。</w:t>
      </w:r>
    </w:p>
    <w:p>
      <w:pPr>
        <w:pStyle w:val="10"/>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00" w:lineRule="exact"/>
        <w:ind w:firstLine="632" w:firstLineChars="200"/>
        <w:textAlignment w:val="auto"/>
        <w:rPr>
          <w:rFonts w:hint="eastAsia" w:ascii="仿宋" w:hAnsi="仿宋" w:eastAsia="仿宋" w:cs="仿宋"/>
          <w:color w:val="auto"/>
          <w:sz w:val="32"/>
          <w:szCs w:val="32"/>
          <w:lang w:val="en-US" w:eastAsia="zh-CN"/>
        </w:rPr>
      </w:pPr>
      <w:r>
        <w:rPr>
          <w:rFonts w:hint="eastAsia" w:ascii="楷体" w:hAnsi="楷体" w:eastAsia="楷体" w:cs="楷体"/>
          <w:color w:val="auto"/>
          <w:sz w:val="32"/>
          <w:szCs w:val="32"/>
          <w:lang w:val="en-US" w:eastAsia="zh-CN"/>
        </w:rPr>
        <w:t>（四）实施效益及满意度</w:t>
      </w:r>
      <w:r>
        <w:rPr>
          <w:rFonts w:hint="eastAsia" w:ascii="楷体" w:hAnsi="楷体" w:eastAsia="楷体" w:cs="楷体"/>
          <w:color w:val="auto"/>
          <w:sz w:val="32"/>
          <w:szCs w:val="32"/>
        </w:rPr>
        <w:t>。</w:t>
      </w:r>
      <w:r>
        <w:rPr>
          <w:rFonts w:hint="eastAsia" w:ascii="仿宋" w:hAnsi="仿宋" w:eastAsia="仿宋" w:cs="仿宋"/>
          <w:color w:val="auto"/>
          <w:kern w:val="2"/>
          <w:sz w:val="32"/>
          <w:szCs w:val="32"/>
        </w:rPr>
        <w:t>权重</w:t>
      </w:r>
      <w:r>
        <w:rPr>
          <w:rFonts w:hint="eastAsia" w:ascii="仿宋" w:hAnsi="仿宋" w:eastAsia="仿宋" w:cs="仿宋"/>
          <w:color w:val="auto"/>
          <w:kern w:val="2"/>
          <w:sz w:val="32"/>
          <w:szCs w:val="32"/>
          <w:lang w:val="en-US" w:eastAsia="zh-CN"/>
        </w:rPr>
        <w:t>2</w:t>
      </w:r>
      <w:r>
        <w:rPr>
          <w:rFonts w:hint="eastAsia" w:ascii="仿宋" w:hAnsi="仿宋" w:eastAsia="仿宋" w:cs="仿宋"/>
          <w:color w:val="auto"/>
          <w:kern w:val="2"/>
          <w:sz w:val="32"/>
          <w:szCs w:val="32"/>
        </w:rPr>
        <w:t>0分，得分</w:t>
      </w:r>
      <w:r>
        <w:rPr>
          <w:rFonts w:hint="eastAsia" w:ascii="仿宋" w:hAnsi="仿宋" w:eastAsia="仿宋" w:cs="仿宋"/>
          <w:color w:val="auto"/>
          <w:kern w:val="2"/>
          <w:sz w:val="32"/>
          <w:szCs w:val="32"/>
          <w:lang w:val="en-US" w:eastAsia="zh-CN"/>
        </w:rPr>
        <w:t>16.83</w:t>
      </w:r>
      <w:r>
        <w:rPr>
          <w:rFonts w:hint="eastAsia" w:ascii="仿宋" w:hAnsi="仿宋" w:eastAsia="仿宋" w:cs="仿宋"/>
          <w:color w:val="auto"/>
          <w:kern w:val="2"/>
          <w:sz w:val="32"/>
          <w:szCs w:val="32"/>
        </w:rPr>
        <w:t>分</w:t>
      </w:r>
      <w:r>
        <w:rPr>
          <w:rFonts w:hint="eastAsia" w:ascii="仿宋" w:hAnsi="仿宋" w:eastAsia="仿宋" w:cs="仿宋"/>
          <w:color w:val="auto"/>
          <w:kern w:val="2"/>
          <w:sz w:val="32"/>
          <w:szCs w:val="32"/>
          <w:lang w:eastAsia="zh-CN"/>
        </w:rPr>
        <w:t>，</w:t>
      </w:r>
      <w:r>
        <w:rPr>
          <w:rFonts w:hint="eastAsia" w:ascii="仿宋" w:hAnsi="仿宋" w:eastAsia="仿宋" w:cs="仿宋"/>
          <w:color w:val="auto"/>
          <w:kern w:val="2"/>
          <w:sz w:val="32"/>
          <w:szCs w:val="32"/>
          <w:lang w:val="en-US" w:eastAsia="zh-CN"/>
        </w:rPr>
        <w:t>扣3.17分。</w:t>
      </w:r>
      <w:r>
        <w:rPr>
          <w:rFonts w:hint="eastAsia" w:ascii="仿宋" w:hAnsi="仿宋" w:eastAsia="仿宋" w:cs="仿宋"/>
          <w:color w:val="auto"/>
          <w:sz w:val="32"/>
          <w:szCs w:val="32"/>
        </w:rPr>
        <w:t>主要扣分点在于</w:t>
      </w:r>
      <w:r>
        <w:rPr>
          <w:rFonts w:hint="eastAsia" w:ascii="仿宋" w:hAnsi="仿宋" w:eastAsia="仿宋" w:cs="仿宋"/>
          <w:color w:val="auto"/>
          <w:sz w:val="32"/>
          <w:szCs w:val="32"/>
          <w:lang w:val="en-US" w:eastAsia="zh-CN"/>
        </w:rPr>
        <w:t>满意度</w:t>
      </w:r>
      <w:r>
        <w:rPr>
          <w:rFonts w:hint="eastAsia" w:ascii="仿宋" w:hAnsi="仿宋" w:eastAsia="仿宋" w:cs="仿宋"/>
          <w:color w:val="auto"/>
          <w:sz w:val="32"/>
          <w:szCs w:val="32"/>
        </w:rPr>
        <w:t>指标</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主要扣分原因为因项目实施而受到影响的社会群众对项目实施效果的满意程度</w:t>
      </w:r>
      <w:r>
        <w:rPr>
          <w:rFonts w:hint="eastAsia" w:ascii="仿宋" w:hAnsi="仿宋" w:eastAsia="仿宋" w:cs="仿宋"/>
          <w:color w:val="auto"/>
          <w:sz w:val="32"/>
          <w:szCs w:val="32"/>
          <w:lang w:val="en-US" w:eastAsia="zh-CN"/>
        </w:rPr>
        <w:t>未达到95%。</w:t>
      </w:r>
    </w:p>
    <w:p>
      <w:pPr>
        <w:pStyle w:val="10"/>
        <w:keepNext w:val="0"/>
        <w:keepLines w:val="0"/>
        <w:pageBreakBefore w:val="0"/>
        <w:numPr>
          <w:ilvl w:val="0"/>
          <w:numId w:val="2"/>
        </w:numPr>
        <w:suppressLineNumbers/>
        <w:kinsoku/>
        <w:wordWrap/>
        <w:overflowPunct/>
        <w:topLinePunct w:val="0"/>
        <w:autoSpaceDE/>
        <w:autoSpaceDN/>
        <w:bidi w:val="0"/>
        <w:adjustRightInd/>
        <w:snapToGrid/>
        <w:spacing w:before="0" w:beforeAutospacing="0" w:after="0" w:afterAutospacing="0" w:line="500" w:lineRule="exact"/>
        <w:ind w:firstLine="640"/>
        <w:textAlignment w:val="auto"/>
        <w:outlineLvl w:val="1"/>
        <w:rPr>
          <w:rFonts w:ascii="黑体" w:hAnsi="黑体" w:eastAsia="黑体" w:cs="黑体"/>
          <w:color w:val="auto"/>
          <w:sz w:val="32"/>
          <w:szCs w:val="32"/>
        </w:rPr>
      </w:pPr>
      <w:r>
        <w:rPr>
          <w:rFonts w:hint="eastAsia" w:ascii="黑体" w:hAnsi="黑体" w:eastAsia="黑体" w:cs="黑体"/>
          <w:color w:val="auto"/>
          <w:sz w:val="32"/>
          <w:szCs w:val="32"/>
        </w:rPr>
        <w:t>存在的问题和原因</w:t>
      </w:r>
    </w:p>
    <w:p>
      <w:pPr>
        <w:keepNext w:val="0"/>
        <w:keepLines w:val="0"/>
        <w:pageBreakBefore w:val="0"/>
        <w:numPr>
          <w:ilvl w:val="0"/>
          <w:numId w:val="3"/>
        </w:numPr>
        <w:kinsoku/>
        <w:wordWrap/>
        <w:overflowPunct/>
        <w:topLinePunct w:val="0"/>
        <w:autoSpaceDE/>
        <w:autoSpaceDN/>
        <w:bidi w:val="0"/>
        <w:adjustRightInd/>
        <w:snapToGrid/>
        <w:spacing w:line="500" w:lineRule="exact"/>
        <w:ind w:firstLine="559" w:firstLineChars="177"/>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未设置</w:t>
      </w:r>
      <w:r>
        <w:rPr>
          <w:rFonts w:hint="eastAsia" w:ascii="楷体" w:hAnsi="楷体" w:eastAsia="楷体" w:cs="楷体"/>
          <w:color w:val="auto"/>
          <w:sz w:val="32"/>
          <w:szCs w:val="32"/>
          <w:lang w:val="en-US" w:eastAsia="zh-CN"/>
        </w:rPr>
        <w:t>项目</w:t>
      </w:r>
      <w:r>
        <w:rPr>
          <w:rFonts w:hint="eastAsia" w:ascii="楷体" w:hAnsi="楷体" w:eastAsia="楷体" w:cs="楷体"/>
          <w:color w:val="auto"/>
          <w:sz w:val="32"/>
          <w:szCs w:val="32"/>
        </w:rPr>
        <w:t>成本指标</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s="仿宋"/>
          <w:color w:val="auto"/>
          <w:kern w:val="0"/>
          <w:sz w:val="32"/>
          <w:szCs w:val="32"/>
          <w:lang w:val="en-US" w:eastAsia="zh-CN"/>
        </w:rPr>
      </w:pPr>
      <w:r>
        <w:rPr>
          <w:rFonts w:ascii="仿宋" w:hAnsi="仿宋" w:eastAsia="仿宋" w:cs="仿宋"/>
          <w:color w:val="auto"/>
          <w:kern w:val="0"/>
          <w:sz w:val="32"/>
          <w:szCs w:val="32"/>
        </w:rPr>
        <w:t>项目单位</w:t>
      </w:r>
      <w:r>
        <w:rPr>
          <w:rFonts w:hint="eastAsia" w:ascii="仿宋" w:hAnsi="仿宋" w:eastAsia="仿宋" w:cs="仿宋"/>
          <w:color w:val="auto"/>
          <w:kern w:val="0"/>
          <w:sz w:val="32"/>
          <w:szCs w:val="32"/>
          <w:lang w:val="en-US" w:eastAsia="zh-CN"/>
        </w:rPr>
        <w:t>对本项目开展了预算编制、预算评审等工作，并制定了</w:t>
      </w:r>
      <w:r>
        <w:rPr>
          <w:rFonts w:ascii="仿宋" w:hAnsi="仿宋" w:eastAsia="仿宋" w:cs="仿宋"/>
          <w:color w:val="auto"/>
          <w:kern w:val="0"/>
          <w:sz w:val="32"/>
          <w:szCs w:val="32"/>
        </w:rPr>
        <w:t>项目绩效目标，</w:t>
      </w:r>
      <w:r>
        <w:rPr>
          <w:rFonts w:hint="eastAsia" w:ascii="仿宋" w:hAnsi="仿宋" w:eastAsia="仿宋" w:cs="仿宋"/>
          <w:color w:val="auto"/>
          <w:sz w:val="32"/>
          <w:szCs w:val="32"/>
          <w:lang w:val="en-US" w:eastAsia="zh-CN"/>
        </w:rPr>
        <w:t>但未设置项目成本指标，不利于考核项目的成本节约程度。</w:t>
      </w:r>
    </w:p>
    <w:p>
      <w:pPr>
        <w:keepNext w:val="0"/>
        <w:keepLines w:val="0"/>
        <w:pageBreakBefore w:val="0"/>
        <w:kinsoku/>
        <w:wordWrap/>
        <w:overflowPunct/>
        <w:topLinePunct w:val="0"/>
        <w:autoSpaceDE/>
        <w:autoSpaceDN/>
        <w:bidi w:val="0"/>
        <w:adjustRightInd/>
        <w:snapToGrid/>
        <w:spacing w:line="500" w:lineRule="exact"/>
        <w:ind w:firstLine="559" w:firstLineChars="177"/>
        <w:textAlignment w:val="auto"/>
        <w:rPr>
          <w:rFonts w:hint="default" w:ascii="楷体" w:hAnsi="楷体" w:eastAsia="楷体" w:cs="楷体"/>
          <w:color w:val="auto"/>
          <w:sz w:val="32"/>
          <w:szCs w:val="32"/>
          <w:lang w:val="en-US"/>
        </w:rPr>
      </w:pP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lang w:val="en-US" w:eastAsia="zh-CN"/>
        </w:rPr>
        <w:t>二</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lang w:val="en-US" w:eastAsia="zh-CN"/>
        </w:rPr>
        <w:t>预算编制的准确性有待提高</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项目前期开展的勘察、预算编制工作不细致、不准确，目标确定的投资额及工程量无法满足项目需求，项目施工过程中增加、变更子目，导致实际投资额及工程量远大于预算，影响项目资金的绩效评价考核管理。</w:t>
      </w:r>
    </w:p>
    <w:p>
      <w:pPr>
        <w:keepNext w:val="0"/>
        <w:keepLines w:val="0"/>
        <w:pageBreakBefore w:val="0"/>
        <w:kinsoku/>
        <w:wordWrap/>
        <w:overflowPunct/>
        <w:topLinePunct w:val="0"/>
        <w:autoSpaceDE/>
        <w:autoSpaceDN/>
        <w:bidi w:val="0"/>
        <w:adjustRightInd/>
        <w:snapToGrid/>
        <w:spacing w:line="500" w:lineRule="exact"/>
        <w:ind w:firstLine="414" w:firstLineChars="131"/>
        <w:textAlignment w:val="auto"/>
        <w:outlineLvl w:val="2"/>
        <w:rPr>
          <w:rFonts w:hint="eastAsia" w:ascii="楷体" w:hAnsi="楷体" w:eastAsia="楷体" w:cs="楷体"/>
          <w:color w:val="auto"/>
          <w:sz w:val="32"/>
          <w:szCs w:val="32"/>
        </w:rPr>
      </w:pPr>
      <w:r>
        <w:rPr>
          <w:rFonts w:hint="eastAsia" w:ascii="楷体" w:hAnsi="楷体" w:eastAsia="楷体" w:cs="楷体"/>
          <w:color w:val="auto"/>
          <w:sz w:val="32"/>
          <w:szCs w:val="32"/>
        </w:rPr>
        <w:t>（</w:t>
      </w:r>
      <w:r>
        <w:rPr>
          <w:rFonts w:hint="eastAsia" w:ascii="楷体" w:hAnsi="楷体" w:eastAsia="楷体" w:cs="楷体"/>
          <w:color w:val="auto"/>
          <w:sz w:val="32"/>
          <w:szCs w:val="32"/>
          <w:lang w:val="en-US" w:eastAsia="zh-CN"/>
        </w:rPr>
        <w:t>三</w:t>
      </w:r>
      <w:r>
        <w:rPr>
          <w:rFonts w:hint="eastAsia" w:ascii="楷体" w:hAnsi="楷体" w:eastAsia="楷体" w:cs="楷体"/>
          <w:color w:val="auto"/>
          <w:sz w:val="32"/>
          <w:szCs w:val="32"/>
        </w:rPr>
        <w:t>）</w:t>
      </w:r>
      <w:r>
        <w:rPr>
          <w:rFonts w:hint="eastAsia" w:ascii="楷体" w:hAnsi="楷体" w:eastAsia="楷体" w:cs="楷体"/>
          <w:color w:val="auto"/>
          <w:sz w:val="32"/>
          <w:szCs w:val="32"/>
          <w:lang w:val="en-US" w:eastAsia="zh-CN"/>
        </w:rPr>
        <w:t>项目实施规范性有待提高</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rPr>
        <w:t>项目</w:t>
      </w:r>
      <w:r>
        <w:rPr>
          <w:rFonts w:hint="eastAsia" w:ascii="仿宋" w:hAnsi="仿宋" w:eastAsia="仿宋" w:cs="仿宋"/>
          <w:color w:val="auto"/>
          <w:kern w:val="0"/>
          <w:sz w:val="32"/>
          <w:szCs w:val="32"/>
          <w:lang w:val="en-US" w:eastAsia="zh-CN"/>
        </w:rPr>
        <w:t>通过竞争性磋商方式确定施工单位，不符合</w:t>
      </w:r>
      <w:r>
        <w:rPr>
          <w:rFonts w:hint="eastAsia" w:ascii="仿宋" w:hAnsi="仿宋" w:eastAsia="仿宋" w:cs="仿宋"/>
          <w:color w:val="auto"/>
          <w:sz w:val="32"/>
          <w:szCs w:val="32"/>
          <w:lang w:val="en-US" w:eastAsia="zh-CN"/>
        </w:rPr>
        <w:t>政府集中采购目录实施方案的要求</w:t>
      </w:r>
      <w:r>
        <w:rPr>
          <w:rFonts w:hint="eastAsia" w:ascii="仿宋" w:hAnsi="仿宋" w:eastAsia="仿宋" w:cs="仿宋"/>
          <w:color w:val="auto"/>
          <w:kern w:val="0"/>
          <w:sz w:val="32"/>
          <w:szCs w:val="32"/>
          <w:lang w:val="en-US" w:eastAsia="zh-CN"/>
        </w:rPr>
        <w:t>。在与施工单位签订建设合同中，项目质保金的约定3%低于财政专项资金文件规定的5%比例。</w:t>
      </w:r>
      <w:r>
        <w:rPr>
          <w:rFonts w:hint="eastAsia" w:ascii="仿宋" w:hAnsi="仿宋" w:eastAsia="仿宋" w:cs="仿宋"/>
          <w:color w:val="auto"/>
          <w:sz w:val="32"/>
          <w:szCs w:val="32"/>
          <w:lang w:val="en-US" w:eastAsia="zh-CN"/>
        </w:rPr>
        <w:t>且</w:t>
      </w:r>
      <w:r>
        <w:rPr>
          <w:rFonts w:hint="eastAsia" w:ascii="仿宋" w:hAnsi="仿宋" w:eastAsia="仿宋" w:cs="仿宋"/>
          <w:color w:val="auto"/>
          <w:kern w:val="0"/>
          <w:sz w:val="32"/>
          <w:szCs w:val="32"/>
          <w:lang w:val="en-US" w:eastAsia="zh-CN"/>
        </w:rPr>
        <w:t>项目档案未及时整理归档。</w:t>
      </w:r>
    </w:p>
    <w:p>
      <w:pPr>
        <w:keepNext w:val="0"/>
        <w:keepLines w:val="0"/>
        <w:pageBreakBefore w:val="0"/>
        <w:kinsoku/>
        <w:wordWrap/>
        <w:overflowPunct/>
        <w:topLinePunct w:val="0"/>
        <w:autoSpaceDE/>
        <w:autoSpaceDN/>
        <w:bidi w:val="0"/>
        <w:adjustRightInd/>
        <w:snapToGrid/>
        <w:spacing w:line="500" w:lineRule="exact"/>
        <w:ind w:firstLine="414" w:firstLineChars="131"/>
        <w:textAlignment w:val="auto"/>
        <w:outlineLvl w:val="2"/>
        <w:rPr>
          <w:rFonts w:hint="default" w:ascii="楷体" w:hAnsi="楷体" w:eastAsia="楷体" w:cs="楷体"/>
          <w:color w:val="auto"/>
          <w:sz w:val="32"/>
          <w:szCs w:val="32"/>
          <w:lang w:val="en-US" w:eastAsia="zh-CN"/>
        </w:rPr>
      </w:pPr>
      <w:r>
        <w:rPr>
          <w:rFonts w:hint="eastAsia" w:ascii="楷体" w:hAnsi="楷体" w:eastAsia="楷体" w:cs="楷体"/>
          <w:color w:val="auto"/>
          <w:sz w:val="32"/>
          <w:szCs w:val="32"/>
        </w:rPr>
        <w:t>（</w:t>
      </w:r>
      <w:r>
        <w:rPr>
          <w:rFonts w:hint="eastAsia" w:ascii="楷体" w:hAnsi="楷体" w:eastAsia="楷体" w:cs="楷体"/>
          <w:color w:val="auto"/>
          <w:sz w:val="32"/>
          <w:szCs w:val="32"/>
          <w:lang w:val="en-US" w:eastAsia="zh-CN"/>
        </w:rPr>
        <w:t>四</w:t>
      </w:r>
      <w:r>
        <w:rPr>
          <w:rFonts w:hint="eastAsia" w:ascii="楷体" w:hAnsi="楷体" w:eastAsia="楷体" w:cs="楷体"/>
          <w:color w:val="auto"/>
          <w:sz w:val="32"/>
          <w:szCs w:val="32"/>
        </w:rPr>
        <w:t>）</w:t>
      </w:r>
      <w:r>
        <w:rPr>
          <w:rFonts w:hint="eastAsia" w:ascii="楷体" w:hAnsi="楷体" w:eastAsia="楷体" w:cs="楷体"/>
          <w:color w:val="auto"/>
          <w:sz w:val="32"/>
          <w:szCs w:val="32"/>
          <w:lang w:val="en-US" w:eastAsia="zh-CN"/>
        </w:rPr>
        <w:t>群众满意度未达到目标值</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经评价人员走访项目建设地群众，并发放调查问卷统计社会群众对项目实施总体效果满意度为85.5%，未达到项目预期目标值95%。</w:t>
      </w:r>
    </w:p>
    <w:p>
      <w:pPr>
        <w:keepNext w:val="0"/>
        <w:keepLines w:val="0"/>
        <w:pageBreakBefore w:val="0"/>
        <w:widowControl/>
        <w:suppressLineNumbers/>
        <w:kinsoku/>
        <w:wordWrap/>
        <w:overflowPunct/>
        <w:topLinePunct w:val="0"/>
        <w:autoSpaceDE/>
        <w:autoSpaceDN/>
        <w:bidi w:val="0"/>
        <w:adjustRightInd/>
        <w:snapToGrid/>
        <w:spacing w:line="500" w:lineRule="exact"/>
        <w:ind w:firstLine="632" w:firstLineChars="200"/>
        <w:jc w:val="left"/>
        <w:textAlignment w:val="auto"/>
        <w:outlineLvl w:val="1"/>
        <w:rPr>
          <w:rFonts w:ascii="黑体" w:hAnsi="黑体" w:eastAsia="黑体" w:cs="黑体"/>
          <w:bCs/>
          <w:color w:val="auto"/>
          <w:sz w:val="32"/>
          <w:szCs w:val="32"/>
        </w:rPr>
      </w:pPr>
      <w:r>
        <w:rPr>
          <w:rFonts w:hint="eastAsia" w:ascii="黑体" w:hAnsi="黑体" w:eastAsia="黑体" w:cs="黑体"/>
          <w:bCs/>
          <w:color w:val="auto"/>
          <w:sz w:val="32"/>
          <w:szCs w:val="32"/>
        </w:rPr>
        <w:t>四、结果应用建议</w:t>
      </w:r>
    </w:p>
    <w:p>
      <w:pPr>
        <w:keepNext w:val="0"/>
        <w:keepLines w:val="0"/>
        <w:pageBreakBefore w:val="0"/>
        <w:kinsoku/>
        <w:wordWrap/>
        <w:overflowPunct/>
        <w:topLinePunct w:val="0"/>
        <w:autoSpaceDE/>
        <w:autoSpaceDN/>
        <w:bidi w:val="0"/>
        <w:adjustRightInd/>
        <w:snapToGrid/>
        <w:spacing w:line="500" w:lineRule="exact"/>
        <w:ind w:firstLine="420" w:firstLineChars="133"/>
        <w:textAlignment w:val="auto"/>
        <w:rPr>
          <w:rFonts w:hint="default" w:ascii="楷体_GB2312" w:hAnsi="楷体_GB2312" w:eastAsia="楷体_GB2312" w:cs="楷体_GB2312"/>
          <w:color w:val="auto"/>
          <w:kern w:val="0"/>
          <w:sz w:val="32"/>
          <w:szCs w:val="32"/>
          <w:lang w:val="en-US"/>
        </w:rPr>
      </w:pPr>
      <w:r>
        <w:rPr>
          <w:rFonts w:hint="eastAsia" w:ascii="楷体_GB2312" w:hAnsi="楷体_GB2312" w:eastAsia="楷体_GB2312" w:cs="楷体_GB2312"/>
          <w:color w:val="auto"/>
          <w:kern w:val="0"/>
          <w:sz w:val="32"/>
          <w:szCs w:val="32"/>
          <w:lang w:val="en-US" w:eastAsia="zh-CN"/>
        </w:rPr>
        <w:t>（一）合理、准确的设定项目绩效目标，开展预算编制工作</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项目实施单位根据项目建设地点的地质条件、施工难度等情况，认真、细致、准确的开展前期勘察、预算编制等工作，合理安排项目资金，对项目内各工程量进一步精细化预测，完全、全面的设定项目绩效目标，便于项目完成时对项目产出的考核、效果的评价，从而有效提高资金使用效益和项目管理水平。</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default" w:ascii="楷体_GB2312" w:hAnsi="楷体_GB2312" w:eastAsia="楷体_GB2312" w:cs="楷体_GB2312"/>
          <w:color w:val="auto"/>
          <w:kern w:val="0"/>
          <w:sz w:val="32"/>
          <w:szCs w:val="32"/>
          <w:lang w:val="en-US" w:eastAsia="zh-CN"/>
        </w:rPr>
      </w:pPr>
      <w:r>
        <w:rPr>
          <w:rFonts w:hint="eastAsia" w:ascii="楷体_GB2312" w:hAnsi="楷体_GB2312" w:eastAsia="楷体_GB2312" w:cs="楷体_GB2312"/>
          <w:color w:val="auto"/>
          <w:kern w:val="0"/>
          <w:sz w:val="32"/>
          <w:szCs w:val="32"/>
          <w:lang w:eastAsia="zh-CN"/>
        </w:rPr>
        <w:t>（</w:t>
      </w:r>
      <w:r>
        <w:rPr>
          <w:rFonts w:hint="eastAsia" w:ascii="楷体_GB2312" w:hAnsi="楷体_GB2312" w:eastAsia="楷体_GB2312" w:cs="楷体_GB2312"/>
          <w:color w:val="auto"/>
          <w:kern w:val="0"/>
          <w:sz w:val="32"/>
          <w:szCs w:val="32"/>
          <w:lang w:val="en-US" w:eastAsia="zh-CN"/>
        </w:rPr>
        <w:t>二</w:t>
      </w:r>
      <w:r>
        <w:rPr>
          <w:rFonts w:hint="eastAsia" w:ascii="楷体_GB2312" w:hAnsi="楷体_GB2312" w:eastAsia="楷体_GB2312" w:cs="楷体_GB2312"/>
          <w:color w:val="auto"/>
          <w:kern w:val="0"/>
          <w:sz w:val="32"/>
          <w:szCs w:val="32"/>
          <w:lang w:eastAsia="zh-CN"/>
        </w:rPr>
        <w:t>）</w:t>
      </w:r>
      <w:r>
        <w:rPr>
          <w:rFonts w:hint="eastAsia" w:ascii="楷体_GB2312" w:hAnsi="楷体_GB2312" w:eastAsia="楷体_GB2312" w:cs="楷体_GB2312"/>
          <w:color w:val="auto"/>
          <w:kern w:val="0"/>
          <w:sz w:val="32"/>
          <w:szCs w:val="32"/>
          <w:lang w:val="en-US" w:eastAsia="zh-CN"/>
        </w:rPr>
        <w:t>严格执行政府集中采购方案</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全面落实政府采购政策，按照《秭归县政府集中采购目录实施方案》的要求及标准执行，科学编制采购需求，合理选择采购方式，进一步打造一流的营商环境。</w:t>
      </w:r>
    </w:p>
    <w:p>
      <w:pPr>
        <w:keepNext w:val="0"/>
        <w:keepLines w:val="0"/>
        <w:pageBreakBefore w:val="0"/>
        <w:kinsoku/>
        <w:wordWrap/>
        <w:overflowPunct/>
        <w:topLinePunct w:val="0"/>
        <w:autoSpaceDE/>
        <w:autoSpaceDN/>
        <w:bidi w:val="0"/>
        <w:adjustRightInd/>
        <w:snapToGrid/>
        <w:spacing w:line="500" w:lineRule="exact"/>
        <w:ind w:firstLine="420" w:firstLineChars="133"/>
        <w:textAlignment w:val="auto"/>
        <w:rPr>
          <w:rFonts w:hint="eastAsia" w:ascii="楷体_GB2312" w:hAnsi="楷体_GB2312" w:eastAsia="楷体_GB2312" w:cs="楷体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（三）</w:t>
      </w:r>
      <w:r>
        <w:rPr>
          <w:rFonts w:hint="eastAsia" w:ascii="楷体_GB2312" w:hAnsi="楷体_GB2312" w:eastAsia="楷体_GB2312" w:cs="楷体_GB2312"/>
          <w:color w:val="auto"/>
          <w:kern w:val="0"/>
          <w:sz w:val="32"/>
          <w:szCs w:val="32"/>
          <w:lang w:eastAsia="zh-CN"/>
        </w:rPr>
        <w:t>加强项目</w:t>
      </w:r>
      <w:r>
        <w:rPr>
          <w:rFonts w:hint="eastAsia" w:ascii="楷体_GB2312" w:hAnsi="楷体_GB2312" w:eastAsia="楷体_GB2312" w:cs="楷体_GB2312"/>
          <w:color w:val="auto"/>
          <w:kern w:val="0"/>
          <w:sz w:val="32"/>
          <w:szCs w:val="32"/>
          <w:lang w:val="en-US" w:eastAsia="zh-CN"/>
        </w:rPr>
        <w:t>实施</w:t>
      </w:r>
      <w:r>
        <w:rPr>
          <w:rFonts w:hint="eastAsia" w:ascii="楷体_GB2312" w:hAnsi="楷体_GB2312" w:eastAsia="楷体_GB2312" w:cs="楷体_GB2312"/>
          <w:color w:val="auto"/>
          <w:kern w:val="0"/>
          <w:sz w:val="32"/>
          <w:szCs w:val="32"/>
          <w:lang w:eastAsia="zh-CN"/>
        </w:rPr>
        <w:t>管理</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根据财政专项资金要求，在建设合同签订时预留5%的项</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目质保金。</w:t>
      </w:r>
      <w:bookmarkStart w:id="0" w:name="OLE_LINK1"/>
      <w:r>
        <w:rPr>
          <w:rFonts w:hint="eastAsia" w:ascii="仿宋" w:hAnsi="仿宋" w:eastAsia="仿宋" w:cs="仿宋"/>
          <w:color w:val="auto"/>
          <w:sz w:val="32"/>
          <w:szCs w:val="32"/>
          <w:lang w:val="en-US" w:eastAsia="zh-CN"/>
        </w:rPr>
        <w:t>项目档案实行单独归档、专人管理，根据项目档案管理规定进行收集、整理、归档、保管，保持档案的真实性、完整性，为项目建设、验收、绩效评价等提供服务</w:t>
      </w:r>
      <w:bookmarkEnd w:id="0"/>
      <w:r>
        <w:rPr>
          <w:rFonts w:hint="eastAsia" w:ascii="仿宋" w:hAnsi="仿宋" w:eastAsia="仿宋" w:cs="仿宋"/>
          <w:color w:val="auto"/>
          <w:sz w:val="32"/>
          <w:szCs w:val="32"/>
          <w:lang w:val="en-US" w:eastAsia="zh-CN"/>
        </w:rPr>
        <w:t>。</w:t>
      </w:r>
    </w:p>
    <w:p>
      <w:pPr>
        <w:keepNext w:val="0"/>
        <w:keepLines w:val="0"/>
        <w:pageBreakBefore w:val="0"/>
        <w:kinsoku/>
        <w:wordWrap/>
        <w:overflowPunct/>
        <w:topLinePunct w:val="0"/>
        <w:autoSpaceDE/>
        <w:autoSpaceDN/>
        <w:bidi w:val="0"/>
        <w:adjustRightInd/>
        <w:snapToGrid/>
        <w:spacing w:line="500" w:lineRule="exact"/>
        <w:ind w:firstLine="420" w:firstLineChars="133"/>
        <w:textAlignment w:val="auto"/>
        <w:rPr>
          <w:rFonts w:hint="eastAsia" w:ascii="楷体_GB2312" w:hAnsi="楷体_GB2312" w:eastAsia="楷体_GB2312" w:cs="楷体_GB2312"/>
          <w:color w:val="auto"/>
          <w:kern w:val="0"/>
          <w:sz w:val="32"/>
          <w:szCs w:val="32"/>
        </w:rPr>
      </w:pPr>
      <w:r>
        <w:rPr>
          <w:rFonts w:hint="eastAsia" w:ascii="楷体_GB2312" w:hAnsi="楷体_GB2312" w:eastAsia="楷体_GB2312" w:cs="楷体_GB2312"/>
          <w:color w:val="auto"/>
          <w:kern w:val="0"/>
          <w:sz w:val="32"/>
          <w:szCs w:val="32"/>
          <w:lang w:eastAsia="zh-CN"/>
        </w:rPr>
        <w:t>（</w:t>
      </w:r>
      <w:r>
        <w:rPr>
          <w:rFonts w:hint="eastAsia" w:ascii="楷体_GB2312" w:hAnsi="楷体_GB2312" w:eastAsia="楷体_GB2312" w:cs="楷体_GB2312"/>
          <w:color w:val="auto"/>
          <w:kern w:val="0"/>
          <w:sz w:val="32"/>
          <w:szCs w:val="32"/>
          <w:lang w:val="en-US" w:eastAsia="zh-CN"/>
        </w:rPr>
        <w:t>四）</w:t>
      </w:r>
      <w:r>
        <w:rPr>
          <w:rFonts w:hint="eastAsia" w:ascii="楷体_GB2312" w:hAnsi="楷体_GB2312" w:eastAsia="楷体_GB2312" w:cs="楷体_GB2312"/>
          <w:color w:val="auto"/>
          <w:kern w:val="0"/>
          <w:sz w:val="32"/>
          <w:szCs w:val="32"/>
        </w:rPr>
        <w:t>提高</w:t>
      </w:r>
      <w:r>
        <w:rPr>
          <w:rFonts w:hint="eastAsia" w:ascii="楷体_GB2312" w:hAnsi="楷体_GB2312" w:eastAsia="楷体_GB2312" w:cs="楷体_GB2312"/>
          <w:color w:val="auto"/>
          <w:kern w:val="0"/>
          <w:sz w:val="32"/>
          <w:szCs w:val="32"/>
          <w:lang w:val="en-US" w:eastAsia="zh-CN"/>
        </w:rPr>
        <w:t>受益群众满意度</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走访了解项目建设地社会群众对项目实施效果的评价情况，收集群众对项目工作存在的意见或者建议，为以后开展建设项目积累经验，进一步提高群众满意度。</w:t>
      </w:r>
    </w:p>
    <w:p>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附件：2022年度西阳坪村、三渡河村公路硬化项目财政评价表</w:t>
      </w:r>
    </w:p>
    <w:tbl>
      <w:tblPr>
        <w:tblStyle w:val="11"/>
        <w:tblW w:w="10753" w:type="dxa"/>
        <w:tblInd w:w="-7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34"/>
        <w:gridCol w:w="554"/>
        <w:gridCol w:w="589"/>
        <w:gridCol w:w="2226"/>
        <w:gridCol w:w="4339"/>
        <w:gridCol w:w="484"/>
        <w:gridCol w:w="623"/>
        <w:gridCol w:w="16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3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kern w:val="0"/>
                <w:sz w:val="15"/>
                <w:szCs w:val="15"/>
                <w:u w:val="none"/>
                <w:lang w:val="en-US" w:eastAsia="zh-CN" w:bidi="ar"/>
              </w:rPr>
            </w:pPr>
            <w:r>
              <w:rPr>
                <w:rFonts w:hint="eastAsia" w:ascii="宋体" w:hAnsi="宋体" w:eastAsia="宋体" w:cs="宋体"/>
                <w:b/>
                <w:bCs/>
                <w:i w:val="0"/>
                <w:iCs w:val="0"/>
                <w:color w:val="000000"/>
                <w:kern w:val="0"/>
                <w:sz w:val="15"/>
                <w:szCs w:val="15"/>
                <w:u w:val="none"/>
                <w:lang w:val="en-US" w:eastAsia="zh-CN" w:bidi="ar"/>
              </w:rPr>
              <w:t>一级指标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kern w:val="0"/>
                <w:sz w:val="15"/>
                <w:szCs w:val="15"/>
                <w:u w:val="none"/>
                <w:lang w:val="en-US" w:eastAsia="zh-CN" w:bidi="ar"/>
              </w:rPr>
            </w:pPr>
            <w:r>
              <w:rPr>
                <w:rFonts w:hint="eastAsia" w:ascii="宋体" w:hAnsi="宋体" w:eastAsia="宋体" w:cs="宋体"/>
                <w:b/>
                <w:bCs/>
                <w:i w:val="0"/>
                <w:iCs w:val="0"/>
                <w:color w:val="000000"/>
                <w:kern w:val="0"/>
                <w:sz w:val="15"/>
                <w:szCs w:val="15"/>
                <w:u w:val="none"/>
                <w:lang w:val="en-US" w:eastAsia="zh-CN" w:bidi="ar"/>
              </w:rPr>
              <w:t>二级指标</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kern w:val="0"/>
                <w:sz w:val="15"/>
                <w:szCs w:val="15"/>
                <w:u w:val="none"/>
                <w:lang w:val="en-US" w:eastAsia="zh-CN" w:bidi="ar"/>
              </w:rPr>
            </w:pPr>
            <w:r>
              <w:rPr>
                <w:rFonts w:hint="eastAsia" w:ascii="宋体" w:hAnsi="宋体" w:eastAsia="宋体" w:cs="宋体"/>
                <w:b/>
                <w:bCs/>
                <w:i w:val="0"/>
                <w:iCs w:val="0"/>
                <w:color w:val="000000"/>
                <w:kern w:val="0"/>
                <w:sz w:val="15"/>
                <w:szCs w:val="15"/>
                <w:u w:val="none"/>
                <w:lang w:val="en-US" w:eastAsia="zh-CN" w:bidi="ar"/>
              </w:rPr>
              <w:t>三级指标</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kern w:val="0"/>
                <w:sz w:val="15"/>
                <w:szCs w:val="15"/>
                <w:u w:val="none"/>
                <w:lang w:val="en-US" w:eastAsia="zh-CN" w:bidi="ar"/>
              </w:rPr>
            </w:pPr>
            <w:r>
              <w:rPr>
                <w:rFonts w:hint="eastAsia" w:ascii="宋体" w:hAnsi="宋体" w:eastAsia="宋体" w:cs="宋体"/>
                <w:b/>
                <w:bCs/>
                <w:i w:val="0"/>
                <w:iCs w:val="0"/>
                <w:color w:val="000000"/>
                <w:kern w:val="0"/>
                <w:sz w:val="15"/>
                <w:szCs w:val="15"/>
                <w:u w:val="none"/>
                <w:lang w:val="en-US" w:eastAsia="zh-CN" w:bidi="ar"/>
              </w:rPr>
              <w:t>指标解释</w:t>
            </w:r>
          </w:p>
        </w:tc>
        <w:tc>
          <w:tcPr>
            <w:tcW w:w="4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kern w:val="0"/>
                <w:sz w:val="15"/>
                <w:szCs w:val="15"/>
                <w:u w:val="none"/>
                <w:lang w:val="en-US" w:eastAsia="zh-CN" w:bidi="ar"/>
              </w:rPr>
            </w:pPr>
            <w:r>
              <w:rPr>
                <w:rFonts w:hint="eastAsia" w:ascii="宋体" w:hAnsi="宋体" w:eastAsia="宋体" w:cs="宋体"/>
                <w:b/>
                <w:bCs/>
                <w:i w:val="0"/>
                <w:iCs w:val="0"/>
                <w:color w:val="000000"/>
                <w:kern w:val="0"/>
                <w:sz w:val="15"/>
                <w:szCs w:val="15"/>
                <w:u w:val="none"/>
                <w:lang w:val="en-US" w:eastAsia="zh-CN" w:bidi="ar"/>
              </w:rPr>
              <w:t>评分标准</w:t>
            </w:r>
          </w:p>
        </w:tc>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kern w:val="0"/>
                <w:sz w:val="15"/>
                <w:szCs w:val="15"/>
                <w:u w:val="none"/>
                <w:lang w:val="en-US" w:eastAsia="zh-CN" w:bidi="ar"/>
              </w:rPr>
            </w:pPr>
            <w:r>
              <w:rPr>
                <w:rFonts w:hint="eastAsia" w:ascii="宋体" w:hAnsi="宋体" w:eastAsia="宋体" w:cs="宋体"/>
                <w:b/>
                <w:bCs/>
                <w:i w:val="0"/>
                <w:iCs w:val="0"/>
                <w:color w:val="000000"/>
                <w:kern w:val="0"/>
                <w:sz w:val="15"/>
                <w:szCs w:val="15"/>
                <w:u w:val="none"/>
                <w:lang w:val="en-US" w:eastAsia="zh-CN" w:bidi="ar"/>
              </w:rPr>
              <w:t>分值</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kern w:val="0"/>
                <w:sz w:val="15"/>
                <w:szCs w:val="15"/>
                <w:u w:val="none"/>
                <w:lang w:val="en-US" w:eastAsia="zh-CN" w:bidi="ar"/>
              </w:rPr>
            </w:pPr>
            <w:r>
              <w:rPr>
                <w:rFonts w:hint="eastAsia" w:ascii="宋体" w:hAnsi="宋体" w:eastAsia="宋体" w:cs="宋体"/>
                <w:b/>
                <w:bCs/>
                <w:i w:val="0"/>
                <w:iCs w:val="0"/>
                <w:color w:val="000000"/>
                <w:kern w:val="0"/>
                <w:sz w:val="15"/>
                <w:szCs w:val="15"/>
                <w:u w:val="none"/>
                <w:lang w:val="en-US" w:eastAsia="zh-CN" w:bidi="ar"/>
              </w:rPr>
              <w:t>评价得分</w:t>
            </w:r>
          </w:p>
        </w:tc>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kern w:val="0"/>
                <w:sz w:val="15"/>
                <w:szCs w:val="15"/>
                <w:u w:val="none"/>
                <w:lang w:val="en-US" w:eastAsia="zh-CN" w:bidi="ar"/>
              </w:rPr>
            </w:pPr>
            <w:r>
              <w:rPr>
                <w:rFonts w:hint="eastAsia" w:ascii="宋体" w:hAnsi="宋体" w:eastAsia="宋体" w:cs="宋体"/>
                <w:b/>
                <w:bCs/>
                <w:i w:val="0"/>
                <w:iCs w:val="0"/>
                <w:color w:val="000000"/>
                <w:kern w:val="0"/>
                <w:sz w:val="15"/>
                <w:szCs w:val="15"/>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6" w:hRule="atLeast"/>
        </w:trPr>
        <w:tc>
          <w:tcPr>
            <w:tcW w:w="3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决策</w:t>
            </w:r>
          </w:p>
        </w:tc>
        <w:tc>
          <w:tcPr>
            <w:tcW w:w="5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项目立项</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调查研究</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考察项目决策环节，为了解项目实施的必要性和可行性而开展的调查研究实施是否全面、详实。对政府专项项目，调研研究主要考察专项下各子项设立的决策分析是否扎实。</w:t>
            </w:r>
          </w:p>
        </w:tc>
        <w:tc>
          <w:tcPr>
            <w:tcW w:w="4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①项目前期结合项目实施内容和范围开展了必要的调查研究，得2分；②取得的调查数据详实、真实，具有代表性，与项目内容高度相关，得2分。</w:t>
            </w:r>
          </w:p>
        </w:tc>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4</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4</w:t>
            </w:r>
          </w:p>
        </w:tc>
        <w:tc>
          <w:tcPr>
            <w:tcW w:w="1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9" w:hRule="atLeast"/>
        </w:trPr>
        <w:tc>
          <w:tcPr>
            <w:tcW w:w="3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kern w:val="0"/>
                <w:sz w:val="15"/>
                <w:szCs w:val="15"/>
                <w:u w:val="none"/>
                <w:lang w:val="en-US" w:eastAsia="zh-CN" w:bidi="ar"/>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kern w:val="0"/>
                <w:sz w:val="15"/>
                <w:szCs w:val="15"/>
                <w:u w:val="none"/>
                <w:lang w:val="en-US" w:eastAsia="zh-CN" w:bidi="ar"/>
              </w:rPr>
            </w:pP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规划设计</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考察项目实施单位对拟实施项目的规划设计方案是否科学、高效。</w:t>
            </w:r>
          </w:p>
        </w:tc>
        <w:tc>
          <w:tcPr>
            <w:tcW w:w="4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①项目规划设计充分体现项目实施的必要性和迫切性，得1分；②项目规划设计充分考虑现实的可行性，包括政策的、技术的、市场的可行性等，得1分；③项目规划设计体现成本效益最大化，方案能够考虑财政承受能力、可持续发展，科学合理确定政府采购需求，体现厉行节约的思想，得1分；④项目规划设计能够说明资金渠道及各类资金来源，能够体现资金来源的可靠性和安全性，得1分。</w:t>
            </w:r>
          </w:p>
        </w:tc>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4</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4</w:t>
            </w:r>
          </w:p>
        </w:tc>
        <w:tc>
          <w:tcPr>
            <w:tcW w:w="1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3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kern w:val="0"/>
                <w:sz w:val="15"/>
                <w:szCs w:val="15"/>
                <w:u w:val="none"/>
                <w:lang w:val="en-US" w:eastAsia="zh-CN" w:bidi="ar"/>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kern w:val="0"/>
                <w:sz w:val="15"/>
                <w:szCs w:val="15"/>
                <w:u w:val="none"/>
                <w:lang w:val="en-US" w:eastAsia="zh-CN" w:bidi="ar"/>
              </w:rPr>
            </w:pP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评估论证</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考察项目立项或确立环节的评估论证是否科学、规范、有效。</w:t>
            </w:r>
          </w:p>
        </w:tc>
        <w:tc>
          <w:tcPr>
            <w:tcW w:w="4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①经过部门以上级别组织的集体决策或评估论证，程序合法合规，得2分；②组织专家、专业机构开展行之有效的评估论证，获得比较客观、公正、准确的结论，得2分。</w:t>
            </w:r>
          </w:p>
        </w:tc>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4</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4</w:t>
            </w:r>
          </w:p>
        </w:tc>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kern w:val="0"/>
                <w:sz w:val="15"/>
                <w:szCs w:val="15"/>
                <w:u w:val="none"/>
                <w:lang w:val="en-US" w:eastAsia="zh-CN" w:bidi="ar"/>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绩效 目标</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项目绩效目标</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考察项目绩效目标设置是否科学、准确、规范。</w:t>
            </w:r>
          </w:p>
        </w:tc>
        <w:tc>
          <w:tcPr>
            <w:tcW w:w="4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①项目绩效目标设置比较全面、规范、准确，得1分；②绩效指标设计能充分体现重要性、相关性原则，得1分；③绩效指标设计能充分体现成本效益最大化原则，得1分；④绩效指标值设置有科学依据，既要符合客观实际，又要体现适度增长，得1分。</w:t>
            </w:r>
          </w:p>
        </w:tc>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4</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3</w:t>
            </w:r>
          </w:p>
        </w:tc>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未设置成本指标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kern w:val="0"/>
                <w:sz w:val="15"/>
                <w:szCs w:val="15"/>
                <w:u w:val="none"/>
                <w:lang w:val="en-US" w:eastAsia="zh-CN" w:bidi="ar"/>
              </w:rPr>
            </w:pPr>
          </w:p>
        </w:tc>
        <w:tc>
          <w:tcPr>
            <w:tcW w:w="5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资金 投入</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预算编制</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考察项目预算编制是否合理、规范。一是支出内容是否合理，是否与项目工作内容和绩效目标高度匹配、相关；二是预算明细是否详尽清晰，是否能对每一项支出分解到最小单元（数量*单价）；三是数量和单价的测算依据来源是否可信可靠。</w:t>
            </w:r>
          </w:p>
        </w:tc>
        <w:tc>
          <w:tcPr>
            <w:tcW w:w="4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①预算确定的项目投资额或资金量是否与工作任务相匹配，得1分；②项目预算明细表详尽清晰，对每一项支出能够分解到最小单元（数量*单价），得1分；③项目预算所依据的标准合理合规，如所需数量和单价确定的依据来源可靠，得1分。</w:t>
            </w:r>
          </w:p>
        </w:tc>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3</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2</w:t>
            </w:r>
          </w:p>
        </w:tc>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预算确定的工程量及投资额与实际不匹配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1" w:hRule="atLeast"/>
        </w:trPr>
        <w:tc>
          <w:tcPr>
            <w:tcW w:w="3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kern w:val="0"/>
                <w:sz w:val="15"/>
                <w:szCs w:val="15"/>
                <w:u w:val="none"/>
                <w:lang w:val="en-US" w:eastAsia="zh-CN" w:bidi="ar"/>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kern w:val="0"/>
                <w:sz w:val="15"/>
                <w:szCs w:val="15"/>
                <w:u w:val="none"/>
                <w:lang w:val="en-US" w:eastAsia="zh-CN" w:bidi="ar"/>
              </w:rPr>
            </w:pP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预算分配</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考察预算分配程序是否公平、公开、公正。预算分配包括区域之间的分配、子项目之间的分配。</w:t>
            </w:r>
          </w:p>
        </w:tc>
        <w:tc>
          <w:tcPr>
            <w:tcW w:w="4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①项目预算资金分配遵循严格规范的程序，确保公开、公正，得1分；②分配的标准统一、公平、合理，得1分。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如不涉及资金分配，本项默认满分。</w:t>
            </w:r>
          </w:p>
        </w:tc>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2</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2</w:t>
            </w:r>
          </w:p>
        </w:tc>
        <w:tc>
          <w:tcPr>
            <w:tcW w:w="1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3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过程</w:t>
            </w:r>
          </w:p>
        </w:tc>
        <w:tc>
          <w:tcPr>
            <w:tcW w:w="5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业务</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管理</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管理措施</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考察项目实施单位的业务管理制度是否规范、全面、有效。</w:t>
            </w:r>
          </w:p>
        </w:tc>
        <w:tc>
          <w:tcPr>
            <w:tcW w:w="4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①项目业务管理制度制定全面，得1分；②为项目建设配套了管理机构、人员等支撑，得1分；③建立了保障项目顺利实施的工作机制，得1分。</w:t>
            </w:r>
          </w:p>
        </w:tc>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3</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3</w:t>
            </w:r>
          </w:p>
        </w:tc>
        <w:tc>
          <w:tcPr>
            <w:tcW w:w="1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1" w:hRule="atLeast"/>
        </w:trPr>
        <w:tc>
          <w:tcPr>
            <w:tcW w:w="3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kern w:val="0"/>
                <w:sz w:val="15"/>
                <w:szCs w:val="15"/>
                <w:u w:val="none"/>
                <w:lang w:val="en-US" w:eastAsia="zh-CN" w:bidi="ar"/>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kern w:val="0"/>
                <w:sz w:val="15"/>
                <w:szCs w:val="15"/>
                <w:u w:val="none"/>
                <w:lang w:val="en-US" w:eastAsia="zh-CN" w:bidi="ar"/>
              </w:rPr>
            </w:pP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项目实施</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考察项目实施单位项目实施是否符合实施方案或相关管理规定要求。</w:t>
            </w:r>
          </w:p>
        </w:tc>
        <w:tc>
          <w:tcPr>
            <w:tcW w:w="4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①项目招投标、采购、建设、验收等严格执行方案要求或相关制度规定，政府采购项目全过程信息公开，得1分；②项目的设立及调整按规定履行报批程序，得1分；③项目资金公示内容完整、明晰、细化，并公布监督举报电话，得1分；④建设项目施工合同书、验收报告、成果等资料是否齐全、准确并及时归档，得1分。</w:t>
            </w:r>
          </w:p>
        </w:tc>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4</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2</w:t>
            </w:r>
          </w:p>
        </w:tc>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项目未按照政府集中采购要求通过公开招标方式确认施工单位。项目质保金3%低于财政专项资金文件规定的5%。项目资料基本齐全，但未整理归档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3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kern w:val="0"/>
                <w:sz w:val="15"/>
                <w:szCs w:val="15"/>
                <w:u w:val="none"/>
                <w:lang w:val="en-US" w:eastAsia="zh-CN" w:bidi="ar"/>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kern w:val="0"/>
                <w:sz w:val="15"/>
                <w:szCs w:val="15"/>
                <w:u w:val="none"/>
                <w:lang w:val="en-US" w:eastAsia="zh-CN" w:bidi="ar"/>
              </w:rPr>
            </w:pP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监督评价</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考察项目实施单位保障项目质量要求采取的措施是否及时、有效。</w:t>
            </w:r>
          </w:p>
        </w:tc>
        <w:tc>
          <w:tcPr>
            <w:tcW w:w="4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①为保障项目质量，项目实施过程中，采取有效的监督、检查等控制措施或手段，得1分；②项目实施完毕后，组织专家或专业机构进行考核验收，政府采购项目规范开展履约验收，得1分；③能够按时完成绩效自评，并能够客观真实的反映成绩和问题，得1分；④对比上一年度绩效评价、审计、巡视巡查反映情况与今年项目实施情况，按时整改到位，按要求报送绩效评价整改情况的，得1分。</w:t>
            </w:r>
          </w:p>
        </w:tc>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4</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4</w:t>
            </w:r>
          </w:p>
        </w:tc>
        <w:tc>
          <w:tcPr>
            <w:tcW w:w="1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3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kern w:val="0"/>
                <w:sz w:val="15"/>
                <w:szCs w:val="15"/>
                <w:u w:val="none"/>
                <w:lang w:val="en-US" w:eastAsia="zh-CN" w:bidi="ar"/>
              </w:rPr>
            </w:pPr>
          </w:p>
        </w:tc>
        <w:tc>
          <w:tcPr>
            <w:tcW w:w="5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财务           管理</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使用合法性</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考察资金拨付、使用是否合法、合规。</w:t>
            </w:r>
          </w:p>
        </w:tc>
        <w:tc>
          <w:tcPr>
            <w:tcW w:w="4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①资金拨付有完整的审批程序和手续，政府采购项目按照规定支付预付款、进度款和结算款，得2分；②资金专款专用，无挤占、挪用、虚列支出等情况，得2分。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（如20%及以上的项目资金支出与项目预算内容无关，则绩效评价得分整体扣40分）。</w:t>
            </w:r>
          </w:p>
        </w:tc>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4</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4</w:t>
            </w:r>
          </w:p>
        </w:tc>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kern w:val="0"/>
                <w:sz w:val="15"/>
                <w:szCs w:val="15"/>
                <w:u w:val="none"/>
                <w:lang w:val="en-US" w:eastAsia="zh-CN" w:bidi="ar"/>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kern w:val="0"/>
                <w:sz w:val="15"/>
                <w:szCs w:val="15"/>
                <w:u w:val="none"/>
                <w:lang w:val="en-US" w:eastAsia="zh-CN" w:bidi="ar"/>
              </w:rPr>
            </w:pP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资金使用率</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通过资金使用率考察预算单位预算编制准确性和项目执行力度。</w:t>
            </w:r>
          </w:p>
        </w:tc>
        <w:tc>
          <w:tcPr>
            <w:tcW w:w="4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财政拨付的预算资金90%及以上使用得4分；80%及以上得3分；70%及以上得2分；70%（不含）以下不得分。</w:t>
            </w:r>
          </w:p>
        </w:tc>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4</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4</w:t>
            </w:r>
          </w:p>
        </w:tc>
        <w:tc>
          <w:tcPr>
            <w:tcW w:w="1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资金使用率100%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3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产出</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数量 指标</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实际完成率</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反映和考核项目产出数量目标的实现程度。</w:t>
            </w:r>
          </w:p>
        </w:tc>
        <w:tc>
          <w:tcPr>
            <w:tcW w:w="4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实际完成率=（实际产出数/计划产出数）×100%</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实际产出数：一定时期（本年度或项目期）内西阳坪村、三渡河村公路硬化项目项目建设完成数量。</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计划产出数：项目绩效目标确定的在一定时期内（本年度或项目期）内西阳坪村、三渡河村公路硬化项目项目建设计划数量。                            ①硬化古观线公路1.382km，得5分，实际产出数量减少1%扣0.5分，扣完为止；                                                  ②硬化彭熊线3.952km，得5分，实际产出数量减少1台扣1分，扣完为止；</w:t>
            </w:r>
          </w:p>
        </w:tc>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10</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10</w:t>
            </w:r>
          </w:p>
        </w:tc>
        <w:tc>
          <w:tcPr>
            <w:tcW w:w="1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9" w:hRule="atLeast"/>
        </w:trPr>
        <w:tc>
          <w:tcPr>
            <w:tcW w:w="3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kern w:val="0"/>
                <w:sz w:val="15"/>
                <w:szCs w:val="15"/>
                <w:u w:val="none"/>
                <w:lang w:val="en-US" w:eastAsia="zh-CN" w:bidi="ar"/>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质量 指标</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质量达标率</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反映和考核项目产出质量目标的实现程度。</w:t>
            </w:r>
          </w:p>
        </w:tc>
        <w:tc>
          <w:tcPr>
            <w:tcW w:w="4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质量达标率=（质量达标产出数/实际产出数）×100%</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质量达标产出数：一定时期（本年度或项目期）内实际达到质量标准的工程和项目。</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①工程质量、验收合格率达到100%，得5分，低于100%的，按比例得分；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 xml:space="preserve">②硬化路面宽度3.5m，得2.5分，3.5m＜硬化路面宽度≥3m得1分，否则不得分；                                                ③硬化路面厚度18cm，得2.5分，18cm＜硬化路面厚度≥15cm得1分，否则不得分；                                              </w:t>
            </w:r>
          </w:p>
        </w:tc>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10</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10</w:t>
            </w:r>
          </w:p>
        </w:tc>
        <w:tc>
          <w:tcPr>
            <w:tcW w:w="1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kern w:val="0"/>
                <w:sz w:val="15"/>
                <w:szCs w:val="15"/>
                <w:u w:val="none"/>
                <w:lang w:val="en-US" w:eastAsia="zh-CN" w:bidi="ar"/>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时效 指标</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时效达标率</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反映和考核项目产出时效目标的实现程度。</w:t>
            </w:r>
          </w:p>
        </w:tc>
        <w:tc>
          <w:tcPr>
            <w:tcW w:w="4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实际完成时间：项目开工、验收、资金拨付实际所耗用的时间。</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计划完成时间：项目开工、验收、资金拨付约定的完成时间。</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①项目按时开工率达到100%，得2分；低于100%的，按比例得分；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②项目按时竣工验收率达到100%，得5分；低于100%的，按比例得分；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③项目资金按时拨付率达到100%，得3分；低于100%的，按比例得分。</w:t>
            </w:r>
          </w:p>
        </w:tc>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10</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10</w:t>
            </w:r>
          </w:p>
        </w:tc>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3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kern w:val="0"/>
                <w:sz w:val="15"/>
                <w:szCs w:val="15"/>
                <w:u w:val="none"/>
                <w:lang w:val="en-US" w:eastAsia="zh-CN" w:bidi="ar"/>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成本 指标</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成本节约率</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完成项目计划工作目标的实际节约成本与计划成本的比率，用以反映和考核项目的成本节约程度。</w:t>
            </w:r>
          </w:p>
        </w:tc>
        <w:tc>
          <w:tcPr>
            <w:tcW w:w="4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成本节约率=[(计划成本-实际成本)/计划成本]×100%</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实际成本：项目实施单位如期、保质、保量完成既定工作目标实际所耗费的支出。</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计划成本：项目实施单位为完成工作目标计划安排的支出，以项目预算为参考。</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成本节约率大于等于0，得10分；因项目增加、变更导致项目超支10%以内扣5分，否则不得分。</w:t>
            </w:r>
          </w:p>
        </w:tc>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10</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5</w:t>
            </w:r>
          </w:p>
        </w:tc>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项目决算金额3179196.27元，合同价款297.5万元，超过合同金额204196.27元，超出比例6.86%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3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效益</w:t>
            </w:r>
          </w:p>
        </w:tc>
        <w:tc>
          <w:tcPr>
            <w:tcW w:w="5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实施效益及满意度</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经济效益</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项目实施对经济发展所带来的直接或间接影响情况。</w:t>
            </w:r>
          </w:p>
        </w:tc>
        <w:tc>
          <w:tcPr>
            <w:tcW w:w="4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①降低运输成本，得2.5分；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②发展种养殖业，增加经济收入，得2.5分。</w:t>
            </w:r>
          </w:p>
        </w:tc>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5</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5</w:t>
            </w:r>
          </w:p>
        </w:tc>
        <w:tc>
          <w:tcPr>
            <w:tcW w:w="1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3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kern w:val="0"/>
                <w:sz w:val="15"/>
                <w:szCs w:val="15"/>
                <w:u w:val="none"/>
                <w:lang w:val="en-US" w:eastAsia="zh-CN" w:bidi="ar"/>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kern w:val="0"/>
                <w:sz w:val="15"/>
                <w:szCs w:val="15"/>
                <w:u w:val="none"/>
                <w:lang w:val="en-US" w:eastAsia="zh-CN" w:bidi="ar"/>
              </w:rPr>
            </w:pP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社会效益</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项目实施对社会发展所带来的直接或间接影响情况。</w:t>
            </w:r>
          </w:p>
        </w:tc>
        <w:tc>
          <w:tcPr>
            <w:tcW w:w="4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项目实施后方便70余户200余人群众出行，其中脱贫户20余户40余人，得5分；70户＜受益人群≥60户，按比例得分，否则不得分； </w:t>
            </w:r>
          </w:p>
        </w:tc>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5</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5</w:t>
            </w:r>
          </w:p>
        </w:tc>
        <w:tc>
          <w:tcPr>
            <w:tcW w:w="1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3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kern w:val="0"/>
                <w:sz w:val="15"/>
                <w:szCs w:val="15"/>
                <w:u w:val="none"/>
                <w:lang w:val="en-US" w:eastAsia="zh-CN" w:bidi="ar"/>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kern w:val="0"/>
                <w:sz w:val="15"/>
                <w:szCs w:val="15"/>
                <w:u w:val="none"/>
                <w:lang w:val="en-US" w:eastAsia="zh-CN" w:bidi="ar"/>
              </w:rPr>
            </w:pP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可持续影响</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项目后续运行及成效发挥的可持续影响情况。</w:t>
            </w:r>
          </w:p>
        </w:tc>
        <w:tc>
          <w:tcPr>
            <w:tcW w:w="4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有效解决群众出行及农副产品运输困难，减少生产成本、增加经济收入，为西阳坪村、三渡河村巩固脱贫成效、全面建成小康社会奠定基础，得5分；                </w:t>
            </w:r>
          </w:p>
        </w:tc>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5</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5</w:t>
            </w:r>
          </w:p>
        </w:tc>
        <w:tc>
          <w:tcPr>
            <w:tcW w:w="1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3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kern w:val="0"/>
                <w:sz w:val="15"/>
                <w:szCs w:val="15"/>
                <w:u w:val="none"/>
                <w:lang w:val="en-US" w:eastAsia="zh-CN" w:bidi="ar"/>
              </w:rP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kern w:val="0"/>
                <w:sz w:val="15"/>
                <w:szCs w:val="15"/>
                <w:u w:val="none"/>
                <w:lang w:val="en-US" w:eastAsia="zh-CN" w:bidi="ar"/>
              </w:rPr>
            </w:pP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满意度</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受益人群对项目实施效果的满意程度。</w:t>
            </w:r>
          </w:p>
        </w:tc>
        <w:tc>
          <w:tcPr>
            <w:tcW w:w="4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采取问卷调查的方式，调查了解因项目实施而受到影响的社会群众对项目实施效果的满意程度，以调查得分按比例计分，满意度达95%得5分，94%≤满意度≥80%按比例得分，小于80%不得分。</w:t>
            </w:r>
          </w:p>
        </w:tc>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5</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1.83 </w:t>
            </w:r>
          </w:p>
        </w:tc>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满意度为85.5%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1" w:hRule="atLeast"/>
        </w:trPr>
        <w:tc>
          <w:tcPr>
            <w:tcW w:w="14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b/>
                <w:bCs/>
                <w:i w:val="0"/>
                <w:iCs w:val="0"/>
                <w:color w:val="000000"/>
                <w:kern w:val="0"/>
                <w:sz w:val="15"/>
                <w:szCs w:val="15"/>
                <w:u w:val="none"/>
                <w:lang w:val="en-US" w:eastAsia="zh-CN" w:bidi="ar"/>
              </w:rPr>
            </w:pPr>
            <w:r>
              <w:rPr>
                <w:rFonts w:hint="eastAsia" w:ascii="宋体" w:hAnsi="宋体" w:eastAsia="宋体" w:cs="宋体"/>
                <w:b/>
                <w:bCs/>
                <w:i w:val="0"/>
                <w:iCs w:val="0"/>
                <w:color w:val="000000"/>
                <w:kern w:val="0"/>
                <w:sz w:val="15"/>
                <w:szCs w:val="15"/>
                <w:u w:val="none"/>
                <w:lang w:val="en-US" w:eastAsia="zh-CN" w:bidi="ar"/>
              </w:rPr>
              <w:t>评价总分</w:t>
            </w:r>
          </w:p>
        </w:tc>
        <w:tc>
          <w:tcPr>
            <w:tcW w:w="2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b/>
                <w:bCs/>
                <w:i w:val="0"/>
                <w:iCs w:val="0"/>
                <w:color w:val="000000"/>
                <w:kern w:val="0"/>
                <w:sz w:val="15"/>
                <w:szCs w:val="15"/>
                <w:u w:val="none"/>
                <w:lang w:val="en-US" w:eastAsia="zh-CN" w:bidi="ar"/>
              </w:rPr>
            </w:pPr>
          </w:p>
        </w:tc>
        <w:tc>
          <w:tcPr>
            <w:tcW w:w="43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b/>
                <w:bCs/>
                <w:i w:val="0"/>
                <w:iCs w:val="0"/>
                <w:color w:val="000000"/>
                <w:kern w:val="0"/>
                <w:sz w:val="15"/>
                <w:szCs w:val="15"/>
                <w:u w:val="none"/>
                <w:lang w:val="en-US" w:eastAsia="zh-CN" w:bidi="ar"/>
              </w:rPr>
            </w:pP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b/>
                <w:bCs/>
                <w:i w:val="0"/>
                <w:iCs w:val="0"/>
                <w:color w:val="000000"/>
                <w:kern w:val="0"/>
                <w:sz w:val="15"/>
                <w:szCs w:val="15"/>
                <w:u w:val="none"/>
                <w:lang w:val="en-US" w:eastAsia="zh-CN" w:bidi="ar"/>
              </w:rPr>
            </w:pPr>
            <w:r>
              <w:rPr>
                <w:rFonts w:hint="eastAsia" w:ascii="宋体" w:hAnsi="宋体" w:eastAsia="宋体" w:cs="宋体"/>
                <w:b/>
                <w:bCs/>
                <w:i w:val="0"/>
                <w:iCs w:val="0"/>
                <w:color w:val="000000"/>
                <w:kern w:val="0"/>
                <w:sz w:val="15"/>
                <w:szCs w:val="15"/>
                <w:u w:val="none"/>
                <w:lang w:val="en-US" w:eastAsia="zh-CN" w:bidi="ar"/>
              </w:rPr>
              <w:t>100</w:t>
            </w:r>
          </w:p>
        </w:tc>
        <w:tc>
          <w:tcPr>
            <w:tcW w:w="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宋体" w:hAnsi="宋体" w:eastAsia="宋体" w:cs="宋体"/>
                <w:b/>
                <w:bCs/>
                <w:i w:val="0"/>
                <w:iCs w:val="0"/>
                <w:color w:val="000000"/>
                <w:kern w:val="0"/>
                <w:sz w:val="15"/>
                <w:szCs w:val="15"/>
                <w:u w:val="none"/>
                <w:lang w:val="en-US" w:eastAsia="zh-CN" w:bidi="ar"/>
              </w:rPr>
            </w:pPr>
            <w:r>
              <w:rPr>
                <w:rFonts w:hint="eastAsia" w:ascii="宋体" w:hAnsi="宋体" w:eastAsia="宋体" w:cs="宋体"/>
                <w:b/>
                <w:bCs/>
                <w:i w:val="0"/>
                <w:iCs w:val="0"/>
                <w:color w:val="000000"/>
                <w:kern w:val="0"/>
                <w:sz w:val="15"/>
                <w:szCs w:val="15"/>
                <w:u w:val="none"/>
                <w:lang w:val="en-US" w:eastAsia="zh-CN" w:bidi="ar"/>
              </w:rPr>
              <w:t>87.83</w:t>
            </w:r>
          </w:p>
        </w:tc>
        <w:tc>
          <w:tcPr>
            <w:tcW w:w="1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b/>
                <w:bCs/>
                <w:i w:val="0"/>
                <w:iCs w:val="0"/>
                <w:color w:val="000000"/>
                <w:kern w:val="0"/>
                <w:sz w:val="15"/>
                <w:szCs w:val="15"/>
                <w:u w:val="none"/>
                <w:lang w:val="en-US" w:eastAsia="zh-CN" w:bidi="ar"/>
              </w:rPr>
            </w:pPr>
          </w:p>
        </w:tc>
      </w:tr>
    </w:tbl>
    <w:p>
      <w:pPr>
        <w:rPr>
          <w:rFonts w:hint="eastAsia" w:ascii="仿宋" w:hAnsi="仿宋" w:eastAsia="仿宋" w:cs="仿宋"/>
          <w:color w:val="auto"/>
          <w:sz w:val="44"/>
          <w:szCs w:val="44"/>
          <w:lang w:val="en-US" w:eastAsia="zh-CN"/>
        </w:rPr>
      </w:pPr>
    </w:p>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 w:hAnsi="仿宋" w:eastAsia="仿宋" w:cs="仿宋"/>
          <w:color w:val="auto"/>
          <w:sz w:val="44"/>
          <w:szCs w:val="44"/>
          <w:lang w:val="en-US" w:eastAsia="zh-CN"/>
        </w:rPr>
      </w:pPr>
      <w:r>
        <w:rPr>
          <w:rFonts w:hint="eastAsia" w:ascii="仿宋" w:hAnsi="仿宋" w:eastAsia="仿宋" w:cs="仿宋"/>
          <w:color w:val="auto"/>
          <w:sz w:val="44"/>
          <w:szCs w:val="44"/>
          <w:lang w:val="en-US" w:eastAsia="zh-CN"/>
        </w:rPr>
        <w:t>附件二</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00" w:lineRule="exact"/>
        <w:jc w:val="center"/>
        <w:textAlignment w:val="auto"/>
        <w:outlineLvl w:val="0"/>
        <w:rPr>
          <w:rFonts w:hint="eastAsia" w:ascii="方正小标宋简体" w:hAnsi="方正小标宋简体" w:eastAsia="方正小标宋简体" w:cs="方正小标宋简体"/>
          <w:b w:val="0"/>
          <w:bCs w:val="0"/>
          <w:color w:val="auto"/>
          <w:spacing w:val="-6"/>
          <w:kern w:val="2"/>
          <w:sz w:val="44"/>
          <w:szCs w:val="44"/>
          <w:lang w:val="en-US" w:eastAsia="zh-CN"/>
        </w:rPr>
      </w:pPr>
      <w:r>
        <w:rPr>
          <w:rFonts w:hint="eastAsia" w:ascii="方正小标宋简体" w:hAnsi="方正小标宋简体" w:eastAsia="方正小标宋简体" w:cs="方正小标宋简体"/>
          <w:b w:val="0"/>
          <w:bCs w:val="0"/>
          <w:color w:val="auto"/>
          <w:spacing w:val="-6"/>
          <w:kern w:val="2"/>
          <w:sz w:val="44"/>
          <w:szCs w:val="44"/>
          <w:lang w:val="en-US" w:eastAsia="zh-CN"/>
        </w:rPr>
        <w:t>2022年度杨林桥镇畜禽粪污资源化利用项目</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00" w:lineRule="exact"/>
        <w:jc w:val="center"/>
        <w:textAlignment w:val="auto"/>
        <w:outlineLvl w:val="0"/>
        <w:rPr>
          <w:rFonts w:hint="eastAsia" w:ascii="方正小标宋简体" w:hAnsi="方正小标宋简体" w:eastAsia="方正小标宋简体" w:cs="方正小标宋简体"/>
          <w:b w:val="0"/>
          <w:bCs w:val="0"/>
          <w:color w:val="auto"/>
          <w:spacing w:val="-6"/>
          <w:kern w:val="2"/>
          <w:sz w:val="44"/>
          <w:szCs w:val="44"/>
          <w:lang w:val="en-US" w:eastAsia="zh-CN"/>
        </w:rPr>
      </w:pPr>
      <w:r>
        <w:rPr>
          <w:rFonts w:hint="eastAsia" w:ascii="方正小标宋简体" w:hAnsi="方正小标宋简体" w:eastAsia="方正小标宋简体" w:cs="方正小标宋简体"/>
          <w:b w:val="0"/>
          <w:bCs w:val="0"/>
          <w:color w:val="auto"/>
          <w:spacing w:val="-6"/>
          <w:kern w:val="2"/>
          <w:sz w:val="44"/>
          <w:szCs w:val="44"/>
          <w:lang w:val="en-US" w:eastAsia="zh-CN"/>
        </w:rPr>
        <w:t>财政评价结果</w:t>
      </w:r>
    </w:p>
    <w:p>
      <w:pPr>
        <w:keepNext w:val="0"/>
        <w:keepLines w:val="0"/>
        <w:pageBreakBefore w:val="0"/>
        <w:widowControl/>
        <w:kinsoku/>
        <w:wordWrap/>
        <w:overflowPunct/>
        <w:topLinePunct w:val="0"/>
        <w:autoSpaceDE/>
        <w:autoSpaceDN/>
        <w:bidi w:val="0"/>
        <w:adjustRightInd/>
        <w:snapToGrid/>
        <w:spacing w:line="500" w:lineRule="exact"/>
        <w:ind w:firstLine="632" w:firstLineChars="200"/>
        <w:jc w:val="left"/>
        <w:textAlignment w:val="auto"/>
        <w:outlineLvl w:val="1"/>
        <w:rPr>
          <w:rFonts w:ascii="黑体" w:hAnsi="黑体" w:eastAsia="黑体" w:cs="黑体"/>
          <w:bCs/>
          <w:color w:val="auto"/>
          <w:sz w:val="32"/>
          <w:szCs w:val="32"/>
        </w:rPr>
      </w:pPr>
      <w:r>
        <w:rPr>
          <w:rFonts w:hint="eastAsia" w:ascii="黑体" w:hAnsi="黑体" w:eastAsia="黑体" w:cs="黑体"/>
          <w:bCs/>
          <w:color w:val="auto"/>
          <w:sz w:val="32"/>
          <w:szCs w:val="32"/>
        </w:rPr>
        <w:t>一、评价分数和等级</w:t>
      </w:r>
    </w:p>
    <w:p>
      <w:pPr>
        <w:pStyle w:val="10"/>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rPr>
          <w:rFonts w:ascii="仿宋" w:hAnsi="仿宋" w:eastAsia="仿宋" w:cs="仿宋"/>
          <w:color w:val="auto"/>
          <w:sz w:val="32"/>
          <w:szCs w:val="32"/>
        </w:rPr>
      </w:pPr>
      <w:r>
        <w:rPr>
          <w:rFonts w:hint="eastAsia" w:ascii="仿宋" w:hAnsi="仿宋" w:eastAsia="仿宋" w:cs="仿宋"/>
          <w:color w:val="auto"/>
          <w:sz w:val="32"/>
          <w:szCs w:val="32"/>
          <w:lang w:eastAsia="zh-CN"/>
        </w:rPr>
        <w:t>秭归县乡村振兴局2022年杨林桥镇畜禽粪污资源化利用项目</w:t>
      </w:r>
      <w:r>
        <w:rPr>
          <w:rFonts w:hint="eastAsia" w:ascii="仿宋" w:hAnsi="仿宋" w:eastAsia="仿宋" w:cs="仿宋"/>
          <w:color w:val="auto"/>
          <w:sz w:val="32"/>
          <w:szCs w:val="32"/>
        </w:rPr>
        <w:t>绩效评分为</w:t>
      </w:r>
      <w:r>
        <w:rPr>
          <w:rFonts w:hint="eastAsia" w:ascii="仿宋" w:hAnsi="仿宋" w:eastAsia="仿宋" w:cs="仿宋"/>
          <w:color w:val="auto"/>
          <w:sz w:val="32"/>
          <w:szCs w:val="32"/>
          <w:lang w:val="en-US" w:eastAsia="zh-CN"/>
        </w:rPr>
        <w:t>90.73</w:t>
      </w:r>
      <w:r>
        <w:rPr>
          <w:rFonts w:hint="eastAsia" w:ascii="仿宋" w:hAnsi="仿宋" w:eastAsia="仿宋" w:cs="仿宋"/>
          <w:color w:val="auto"/>
          <w:sz w:val="32"/>
          <w:szCs w:val="32"/>
        </w:rPr>
        <w:t>分,绩效等级为“</w:t>
      </w:r>
      <w:r>
        <w:rPr>
          <w:rFonts w:hint="eastAsia" w:ascii="仿宋" w:hAnsi="仿宋" w:eastAsia="仿宋" w:cs="仿宋"/>
          <w:color w:val="auto"/>
          <w:sz w:val="32"/>
          <w:szCs w:val="32"/>
          <w:lang w:val="en-US" w:eastAsia="zh-CN"/>
        </w:rPr>
        <w:t>优</w:t>
      </w:r>
      <w:r>
        <w:rPr>
          <w:rFonts w:ascii="仿宋" w:hAnsi="仿宋" w:eastAsia="仿宋" w:cs="仿宋"/>
          <w:color w:val="auto"/>
          <w:sz w:val="32"/>
          <w:szCs w:val="32"/>
        </w:rPr>
        <w:t>”</w:t>
      </w:r>
      <w:r>
        <w:rPr>
          <w:rFonts w:hint="eastAsia" w:ascii="仿宋" w:hAnsi="仿宋" w:eastAsia="仿宋" w:cs="仿宋"/>
          <w:color w:val="auto"/>
          <w:sz w:val="32"/>
          <w:szCs w:val="32"/>
        </w:rPr>
        <w:t>。</w:t>
      </w:r>
    </w:p>
    <w:p>
      <w:pPr>
        <w:pStyle w:val="10"/>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640"/>
        <w:textAlignment w:val="auto"/>
        <w:outlineLvl w:val="1"/>
        <w:rPr>
          <w:rFonts w:ascii="仿宋" w:hAnsi="仿宋" w:eastAsia="仿宋" w:cs="仿宋"/>
          <w:color w:val="auto"/>
          <w:sz w:val="32"/>
          <w:szCs w:val="32"/>
        </w:rPr>
      </w:pPr>
      <w:r>
        <w:rPr>
          <w:rFonts w:hint="eastAsia" w:ascii="黑体" w:hAnsi="黑体" w:eastAsia="黑体" w:cs="黑体"/>
          <w:color w:val="auto"/>
          <w:sz w:val="32"/>
          <w:szCs w:val="32"/>
        </w:rPr>
        <w:t>二、绩效目标完成情况分析</w:t>
      </w:r>
    </w:p>
    <w:p>
      <w:pPr>
        <w:pStyle w:val="10"/>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ascii="仿宋" w:hAnsi="仿宋" w:eastAsia="仿宋" w:cs="仿宋"/>
          <w:color w:val="auto"/>
          <w:sz w:val="32"/>
          <w:szCs w:val="32"/>
          <w:lang w:val="en-US" w:eastAsia="zh-CN"/>
        </w:rPr>
      </w:pPr>
      <w:r>
        <w:rPr>
          <w:rFonts w:hint="eastAsia" w:ascii="楷体" w:hAnsi="楷体" w:eastAsia="楷体" w:cs="楷体"/>
          <w:color w:val="auto"/>
          <w:sz w:val="32"/>
          <w:szCs w:val="32"/>
        </w:rPr>
        <w:t>（一）项目</w:t>
      </w:r>
      <w:r>
        <w:rPr>
          <w:rFonts w:hint="eastAsia" w:ascii="楷体" w:hAnsi="楷体" w:eastAsia="楷体" w:cs="楷体"/>
          <w:color w:val="auto"/>
          <w:sz w:val="32"/>
          <w:szCs w:val="32"/>
          <w:lang w:val="en-US" w:eastAsia="zh-CN"/>
        </w:rPr>
        <w:t>决策</w:t>
      </w:r>
      <w:r>
        <w:rPr>
          <w:rFonts w:hint="eastAsia" w:ascii="楷体" w:hAnsi="楷体" w:eastAsia="楷体" w:cs="楷体"/>
          <w:color w:val="auto"/>
          <w:sz w:val="32"/>
          <w:szCs w:val="32"/>
        </w:rPr>
        <w:t>。</w:t>
      </w:r>
      <w:r>
        <w:rPr>
          <w:rFonts w:hint="eastAsia" w:ascii="仿宋" w:hAnsi="仿宋" w:eastAsia="仿宋" w:cs="仿宋"/>
          <w:color w:val="auto"/>
          <w:sz w:val="32"/>
          <w:szCs w:val="32"/>
        </w:rPr>
        <w:t>权重</w:t>
      </w:r>
      <w:r>
        <w:rPr>
          <w:rFonts w:hint="eastAsia" w:ascii="仿宋" w:hAnsi="仿宋" w:eastAsia="仿宋" w:cs="仿宋"/>
          <w:color w:val="auto"/>
          <w:sz w:val="32"/>
          <w:szCs w:val="32"/>
          <w:lang w:val="en-US" w:eastAsia="zh-CN"/>
        </w:rPr>
        <w:t>21</w:t>
      </w:r>
      <w:r>
        <w:rPr>
          <w:rFonts w:hint="eastAsia" w:ascii="仿宋" w:hAnsi="仿宋" w:eastAsia="仿宋" w:cs="仿宋"/>
          <w:color w:val="auto"/>
          <w:sz w:val="32"/>
          <w:szCs w:val="32"/>
        </w:rPr>
        <w:t>分，得分</w:t>
      </w: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rPr>
        <w:t>分</w:t>
      </w:r>
      <w:r>
        <w:rPr>
          <w:rFonts w:hint="eastAsia" w:ascii="仿宋" w:hAnsi="仿宋" w:eastAsia="仿宋" w:cs="仿宋"/>
          <w:color w:val="auto"/>
          <w:sz w:val="32"/>
          <w:szCs w:val="32"/>
          <w:lang w:val="en-US" w:eastAsia="zh-CN"/>
        </w:rPr>
        <w:t>，扣分1分</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主要扣分点在于项目绩效目标指标，主要扣分原因为项目实际工期超过计划工期，</w:t>
      </w:r>
      <w:r>
        <w:rPr>
          <w:rFonts w:hint="eastAsia" w:ascii="仿宋" w:hAnsi="仿宋" w:eastAsia="仿宋" w:cs="仿宋"/>
          <w:color w:val="auto"/>
          <w:sz w:val="32"/>
          <w:szCs w:val="32"/>
          <w:lang w:eastAsia="zh-CN"/>
        </w:rPr>
        <w:t>项目时效指标设定不合理。</w:t>
      </w:r>
    </w:p>
    <w:p>
      <w:pPr>
        <w:pStyle w:val="10"/>
        <w:keepNext w:val="0"/>
        <w:keepLines w:val="0"/>
        <w:pageBreakBefore w:val="0"/>
        <w:numPr>
          <w:ilvl w:val="0"/>
          <w:numId w:val="1"/>
        </w:numPr>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ascii="楷体" w:hAnsi="楷体" w:eastAsia="楷体" w:cs="楷体"/>
          <w:color w:val="auto"/>
          <w:sz w:val="32"/>
          <w:szCs w:val="32"/>
          <w:lang w:eastAsia="zh-CN"/>
        </w:rPr>
      </w:pPr>
      <w:r>
        <w:rPr>
          <w:rFonts w:hint="eastAsia" w:ascii="楷体" w:hAnsi="楷体" w:eastAsia="楷体" w:cs="楷体"/>
          <w:color w:val="auto"/>
          <w:sz w:val="32"/>
          <w:szCs w:val="32"/>
          <w:lang w:val="en-US" w:eastAsia="zh-CN"/>
        </w:rPr>
        <w:t>项目过程</w:t>
      </w:r>
      <w:r>
        <w:rPr>
          <w:rFonts w:hint="eastAsia" w:ascii="楷体" w:hAnsi="楷体" w:eastAsia="楷体" w:cs="楷体"/>
          <w:color w:val="auto"/>
          <w:sz w:val="32"/>
          <w:szCs w:val="32"/>
          <w:lang w:eastAsia="zh-CN"/>
        </w:rPr>
        <w:t>。</w:t>
      </w:r>
      <w:r>
        <w:rPr>
          <w:rFonts w:hint="eastAsia" w:ascii="仿宋" w:hAnsi="仿宋" w:eastAsia="仿宋" w:cs="仿宋"/>
          <w:color w:val="auto"/>
          <w:sz w:val="32"/>
          <w:szCs w:val="32"/>
          <w:lang w:val="en-US" w:eastAsia="zh-CN"/>
        </w:rPr>
        <w:t>权重19分，得分16分，扣分3分。主要扣分点在于项目实施指标，主要扣分原因为项目建设合同中约定的质保金3%低于财政专项资金文件规定的5%。项目公示内容不完整，无资金来源、资金分配结果等信息。项目档案未及时整理归档。</w:t>
      </w:r>
    </w:p>
    <w:p>
      <w:pPr>
        <w:pStyle w:val="10"/>
        <w:keepNext w:val="0"/>
        <w:keepLines w:val="0"/>
        <w:pageBreakBefore w:val="0"/>
        <w:numPr>
          <w:ilvl w:val="0"/>
          <w:numId w:val="1"/>
        </w:numPr>
        <w:kinsoku/>
        <w:wordWrap/>
        <w:overflowPunct/>
        <w:topLinePunct w:val="0"/>
        <w:autoSpaceDE/>
        <w:autoSpaceDN/>
        <w:bidi w:val="0"/>
        <w:adjustRightInd/>
        <w:snapToGrid/>
        <w:spacing w:before="0" w:beforeAutospacing="0" w:after="0" w:afterAutospacing="0" w:line="500" w:lineRule="exact"/>
        <w:ind w:left="0" w:leftChars="0" w:firstLine="632" w:firstLineChars="200"/>
        <w:textAlignment w:val="auto"/>
        <w:rPr>
          <w:rFonts w:hint="eastAsia" w:ascii="仿宋" w:hAnsi="仿宋" w:eastAsia="仿宋" w:cs="仿宋"/>
          <w:color w:val="auto"/>
          <w:sz w:val="32"/>
          <w:szCs w:val="32"/>
          <w:lang w:val="en-US" w:eastAsia="zh-CN"/>
        </w:rPr>
      </w:pPr>
      <w:r>
        <w:rPr>
          <w:rFonts w:hint="eastAsia" w:ascii="楷体" w:hAnsi="楷体" w:eastAsia="楷体" w:cs="楷体"/>
          <w:color w:val="auto"/>
          <w:sz w:val="32"/>
          <w:szCs w:val="32"/>
          <w:lang w:val="en-US" w:eastAsia="zh-CN"/>
        </w:rPr>
        <w:t>项目产出</w:t>
      </w:r>
      <w:r>
        <w:rPr>
          <w:rFonts w:hint="eastAsia" w:ascii="楷体" w:hAnsi="楷体" w:eastAsia="楷体" w:cs="楷体"/>
          <w:color w:val="auto"/>
          <w:sz w:val="32"/>
          <w:szCs w:val="32"/>
        </w:rPr>
        <w:t>。</w:t>
      </w:r>
      <w:r>
        <w:rPr>
          <w:rFonts w:hint="eastAsia" w:ascii="仿宋" w:hAnsi="仿宋" w:eastAsia="仿宋" w:cs="仿宋"/>
          <w:color w:val="auto"/>
          <w:sz w:val="32"/>
          <w:szCs w:val="32"/>
        </w:rPr>
        <w:t>权重</w:t>
      </w:r>
      <w:r>
        <w:rPr>
          <w:rFonts w:hint="eastAsia" w:ascii="仿宋" w:hAnsi="仿宋" w:eastAsia="仿宋" w:cs="仿宋"/>
          <w:color w:val="auto"/>
          <w:sz w:val="32"/>
          <w:szCs w:val="32"/>
          <w:lang w:val="en-US" w:eastAsia="zh-CN"/>
        </w:rPr>
        <w:t>40</w:t>
      </w:r>
      <w:r>
        <w:rPr>
          <w:rFonts w:hint="eastAsia" w:ascii="仿宋" w:hAnsi="仿宋" w:eastAsia="仿宋" w:cs="仿宋"/>
          <w:color w:val="auto"/>
          <w:sz w:val="32"/>
          <w:szCs w:val="32"/>
        </w:rPr>
        <w:t>分，得分</w:t>
      </w:r>
      <w:r>
        <w:rPr>
          <w:rFonts w:hint="eastAsia" w:ascii="仿宋" w:hAnsi="仿宋" w:eastAsia="仿宋" w:cs="仿宋"/>
          <w:color w:val="auto"/>
          <w:sz w:val="32"/>
          <w:szCs w:val="32"/>
          <w:lang w:val="en-US" w:eastAsia="zh-CN"/>
        </w:rPr>
        <w:t>35</w:t>
      </w:r>
      <w:r>
        <w:rPr>
          <w:rFonts w:hint="eastAsia" w:ascii="仿宋" w:hAnsi="仿宋" w:eastAsia="仿宋" w:cs="仿宋"/>
          <w:color w:val="auto"/>
          <w:sz w:val="32"/>
          <w:szCs w:val="32"/>
        </w:rPr>
        <w:t>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扣分5分</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主要扣分点在于项目时效指标，主要扣分原因为项目实际工期超过计划工期。</w:t>
      </w:r>
    </w:p>
    <w:p>
      <w:pPr>
        <w:pStyle w:val="10"/>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00" w:lineRule="exact"/>
        <w:ind w:firstLine="632" w:firstLineChars="200"/>
        <w:textAlignment w:val="auto"/>
        <w:rPr>
          <w:rFonts w:hint="eastAsia" w:ascii="仿宋" w:hAnsi="仿宋" w:eastAsia="仿宋" w:cs="仿宋"/>
          <w:color w:val="auto"/>
          <w:sz w:val="32"/>
          <w:szCs w:val="32"/>
          <w:lang w:val="en-US" w:eastAsia="zh-CN"/>
        </w:rPr>
      </w:pPr>
      <w:r>
        <w:rPr>
          <w:rFonts w:hint="eastAsia" w:ascii="楷体" w:hAnsi="楷体" w:eastAsia="楷体" w:cs="楷体"/>
          <w:color w:val="auto"/>
          <w:sz w:val="32"/>
          <w:szCs w:val="32"/>
          <w:lang w:val="en-US" w:eastAsia="zh-CN"/>
        </w:rPr>
        <w:t>（四）实施效益及满意度</w:t>
      </w:r>
      <w:r>
        <w:rPr>
          <w:rFonts w:hint="eastAsia" w:ascii="楷体" w:hAnsi="楷体" w:eastAsia="楷体" w:cs="楷体"/>
          <w:color w:val="auto"/>
          <w:sz w:val="32"/>
          <w:szCs w:val="32"/>
        </w:rPr>
        <w:t>。</w:t>
      </w:r>
      <w:r>
        <w:rPr>
          <w:rFonts w:hint="eastAsia" w:ascii="仿宋" w:hAnsi="仿宋" w:eastAsia="仿宋" w:cs="仿宋"/>
          <w:color w:val="auto"/>
          <w:kern w:val="2"/>
          <w:sz w:val="32"/>
          <w:szCs w:val="32"/>
        </w:rPr>
        <w:t>权重</w:t>
      </w:r>
      <w:r>
        <w:rPr>
          <w:rFonts w:hint="eastAsia" w:ascii="仿宋" w:hAnsi="仿宋" w:eastAsia="仿宋" w:cs="仿宋"/>
          <w:color w:val="auto"/>
          <w:kern w:val="2"/>
          <w:sz w:val="32"/>
          <w:szCs w:val="32"/>
          <w:lang w:val="en-US" w:eastAsia="zh-CN"/>
        </w:rPr>
        <w:t>2</w:t>
      </w:r>
      <w:r>
        <w:rPr>
          <w:rFonts w:hint="eastAsia" w:ascii="仿宋" w:hAnsi="仿宋" w:eastAsia="仿宋" w:cs="仿宋"/>
          <w:color w:val="auto"/>
          <w:kern w:val="2"/>
          <w:sz w:val="32"/>
          <w:szCs w:val="32"/>
        </w:rPr>
        <w:t>0分，得分</w:t>
      </w:r>
      <w:r>
        <w:rPr>
          <w:rFonts w:hint="eastAsia" w:ascii="仿宋" w:hAnsi="仿宋" w:eastAsia="仿宋" w:cs="仿宋"/>
          <w:color w:val="auto"/>
          <w:kern w:val="2"/>
          <w:sz w:val="32"/>
          <w:szCs w:val="32"/>
          <w:lang w:val="en-US" w:eastAsia="zh-CN"/>
        </w:rPr>
        <w:t>19.73</w:t>
      </w:r>
      <w:r>
        <w:rPr>
          <w:rFonts w:hint="eastAsia" w:ascii="仿宋" w:hAnsi="仿宋" w:eastAsia="仿宋" w:cs="仿宋"/>
          <w:color w:val="auto"/>
          <w:kern w:val="2"/>
          <w:sz w:val="32"/>
          <w:szCs w:val="32"/>
        </w:rPr>
        <w:t>分</w:t>
      </w:r>
      <w:r>
        <w:rPr>
          <w:rFonts w:hint="eastAsia" w:ascii="仿宋" w:hAnsi="仿宋" w:eastAsia="仿宋" w:cs="仿宋"/>
          <w:color w:val="auto"/>
          <w:kern w:val="2"/>
          <w:sz w:val="32"/>
          <w:szCs w:val="32"/>
          <w:lang w:eastAsia="zh-CN"/>
        </w:rPr>
        <w:t>，</w:t>
      </w:r>
      <w:r>
        <w:rPr>
          <w:rFonts w:hint="eastAsia" w:ascii="仿宋" w:hAnsi="仿宋" w:eastAsia="仿宋" w:cs="仿宋"/>
          <w:color w:val="auto"/>
          <w:kern w:val="2"/>
          <w:sz w:val="32"/>
          <w:szCs w:val="32"/>
          <w:lang w:val="en-US" w:eastAsia="zh-CN"/>
        </w:rPr>
        <w:t>扣0.27分。</w:t>
      </w:r>
      <w:r>
        <w:rPr>
          <w:rFonts w:hint="eastAsia" w:ascii="仿宋" w:hAnsi="仿宋" w:eastAsia="仿宋" w:cs="仿宋"/>
          <w:color w:val="auto"/>
          <w:sz w:val="32"/>
          <w:szCs w:val="32"/>
        </w:rPr>
        <w:t>主要扣分点在于</w:t>
      </w:r>
      <w:r>
        <w:rPr>
          <w:rFonts w:hint="eastAsia" w:ascii="仿宋" w:hAnsi="仿宋" w:eastAsia="仿宋" w:cs="仿宋"/>
          <w:color w:val="auto"/>
          <w:sz w:val="32"/>
          <w:szCs w:val="32"/>
          <w:lang w:val="en-US" w:eastAsia="zh-CN"/>
        </w:rPr>
        <w:t>满意度</w:t>
      </w:r>
      <w:r>
        <w:rPr>
          <w:rFonts w:hint="eastAsia" w:ascii="仿宋" w:hAnsi="仿宋" w:eastAsia="仿宋" w:cs="仿宋"/>
          <w:color w:val="auto"/>
          <w:sz w:val="32"/>
          <w:szCs w:val="32"/>
        </w:rPr>
        <w:t>指标</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主要扣分原因为因项目实施而受到影响的社会群众对项目实施效果的满意程度</w:t>
      </w:r>
      <w:r>
        <w:rPr>
          <w:rFonts w:hint="eastAsia" w:ascii="仿宋" w:hAnsi="仿宋" w:eastAsia="仿宋" w:cs="仿宋"/>
          <w:color w:val="auto"/>
          <w:sz w:val="32"/>
          <w:szCs w:val="32"/>
          <w:lang w:val="en-US" w:eastAsia="zh-CN"/>
        </w:rPr>
        <w:t>未达到95%。</w:t>
      </w:r>
    </w:p>
    <w:p>
      <w:pPr>
        <w:pStyle w:val="10"/>
        <w:keepNext w:val="0"/>
        <w:keepLines w:val="0"/>
        <w:pageBreakBefore w:val="0"/>
        <w:numPr>
          <w:ilvl w:val="0"/>
          <w:numId w:val="0"/>
        </w:numPr>
        <w:suppressLineNumbers/>
        <w:kinsoku/>
        <w:wordWrap/>
        <w:overflowPunct/>
        <w:topLinePunct w:val="0"/>
        <w:autoSpaceDE/>
        <w:autoSpaceDN/>
        <w:bidi w:val="0"/>
        <w:adjustRightInd/>
        <w:snapToGrid/>
        <w:spacing w:before="0" w:beforeAutospacing="0" w:after="0" w:afterAutospacing="0" w:line="500" w:lineRule="exact"/>
        <w:ind w:firstLine="632" w:firstLineChars="200"/>
        <w:textAlignment w:val="auto"/>
        <w:outlineLvl w:val="1"/>
        <w:rPr>
          <w:rFonts w:ascii="黑体" w:hAnsi="黑体" w:eastAsia="黑体" w:cs="黑体"/>
          <w:color w:val="auto"/>
          <w:sz w:val="32"/>
          <w:szCs w:val="32"/>
        </w:rPr>
      </w:pPr>
      <w:r>
        <w:rPr>
          <w:rFonts w:hint="eastAsia" w:ascii="黑体" w:hAnsi="黑体" w:eastAsia="黑体" w:cs="黑体"/>
          <w:color w:val="auto"/>
          <w:sz w:val="32"/>
          <w:szCs w:val="32"/>
          <w:lang w:eastAsia="zh-CN"/>
        </w:rPr>
        <w:t>三、</w:t>
      </w:r>
      <w:r>
        <w:rPr>
          <w:rFonts w:hint="eastAsia" w:ascii="黑体" w:hAnsi="黑体" w:eastAsia="黑体" w:cs="黑体"/>
          <w:color w:val="auto"/>
          <w:sz w:val="32"/>
          <w:szCs w:val="32"/>
        </w:rPr>
        <w:t>存在的问题和原因</w:t>
      </w:r>
    </w:p>
    <w:p>
      <w:pPr>
        <w:keepNext w:val="0"/>
        <w:keepLines w:val="0"/>
        <w:pageBreakBefore w:val="0"/>
        <w:kinsoku/>
        <w:wordWrap/>
        <w:overflowPunct/>
        <w:topLinePunct w:val="0"/>
        <w:autoSpaceDE/>
        <w:autoSpaceDN/>
        <w:bidi w:val="0"/>
        <w:adjustRightInd/>
        <w:snapToGrid/>
        <w:spacing w:line="500" w:lineRule="exact"/>
        <w:ind w:firstLine="559" w:firstLineChars="177"/>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（一）</w:t>
      </w:r>
      <w:r>
        <w:rPr>
          <w:rFonts w:hint="eastAsia" w:ascii="楷体" w:hAnsi="楷体" w:eastAsia="楷体" w:cs="楷体"/>
          <w:color w:val="auto"/>
          <w:sz w:val="32"/>
          <w:szCs w:val="32"/>
          <w:lang w:val="en-US" w:eastAsia="zh-CN"/>
        </w:rPr>
        <w:t>个别</w:t>
      </w:r>
      <w:r>
        <w:rPr>
          <w:rFonts w:hint="eastAsia" w:ascii="楷体" w:hAnsi="楷体" w:eastAsia="楷体" w:cs="楷体"/>
          <w:color w:val="auto"/>
          <w:sz w:val="32"/>
          <w:szCs w:val="32"/>
        </w:rPr>
        <w:t>绩效目标</w:t>
      </w:r>
      <w:r>
        <w:rPr>
          <w:rFonts w:hint="eastAsia" w:ascii="楷体" w:hAnsi="楷体" w:eastAsia="楷体" w:cs="楷体"/>
          <w:color w:val="auto"/>
          <w:sz w:val="32"/>
          <w:szCs w:val="32"/>
          <w:lang w:val="en-US" w:eastAsia="zh-CN"/>
        </w:rPr>
        <w:t>设置不合理</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ascii="仿宋" w:hAnsi="仿宋" w:eastAsia="仿宋" w:cs="仿宋"/>
          <w:color w:val="auto"/>
          <w:kern w:val="0"/>
          <w:sz w:val="32"/>
          <w:szCs w:val="32"/>
        </w:rPr>
      </w:pPr>
      <w:r>
        <w:rPr>
          <w:rFonts w:ascii="仿宋" w:hAnsi="仿宋" w:eastAsia="仿宋" w:cs="仿宋"/>
          <w:color w:val="auto"/>
          <w:kern w:val="0"/>
          <w:sz w:val="32"/>
          <w:szCs w:val="32"/>
        </w:rPr>
        <w:t>项目单位</w:t>
      </w:r>
      <w:r>
        <w:rPr>
          <w:rFonts w:hint="eastAsia" w:ascii="仿宋" w:hAnsi="仿宋" w:eastAsia="仿宋" w:cs="仿宋"/>
          <w:color w:val="auto"/>
          <w:kern w:val="0"/>
          <w:sz w:val="32"/>
          <w:szCs w:val="32"/>
          <w:lang w:val="en-US" w:eastAsia="zh-CN"/>
        </w:rPr>
        <w:t>制定了</w:t>
      </w:r>
      <w:r>
        <w:rPr>
          <w:rFonts w:ascii="仿宋" w:hAnsi="仿宋" w:eastAsia="仿宋" w:cs="仿宋"/>
          <w:color w:val="auto"/>
          <w:kern w:val="0"/>
          <w:sz w:val="32"/>
          <w:szCs w:val="32"/>
        </w:rPr>
        <w:t>项目绩效目标，</w:t>
      </w:r>
      <w:r>
        <w:rPr>
          <w:rFonts w:hint="eastAsia" w:ascii="仿宋" w:hAnsi="仿宋" w:eastAsia="仿宋" w:cs="仿宋"/>
          <w:color w:val="auto"/>
          <w:kern w:val="0"/>
          <w:sz w:val="32"/>
          <w:szCs w:val="32"/>
          <w:lang w:val="en-US" w:eastAsia="zh-CN"/>
        </w:rPr>
        <w:t>但</w:t>
      </w:r>
      <w:r>
        <w:rPr>
          <w:rFonts w:hint="eastAsia" w:ascii="仿宋" w:hAnsi="仿宋" w:eastAsia="仿宋" w:cs="仿宋"/>
          <w:color w:val="auto"/>
          <w:sz w:val="32"/>
          <w:szCs w:val="32"/>
          <w:lang w:val="en-US" w:eastAsia="zh-CN"/>
        </w:rPr>
        <w:t>项目时效指标设定不合理，导致项目实际工期超过预计工期，</w:t>
      </w:r>
      <w:r>
        <w:rPr>
          <w:rFonts w:hint="eastAsia" w:ascii="仿宋" w:hAnsi="仿宋" w:eastAsia="仿宋" w:cs="仿宋"/>
          <w:color w:val="auto"/>
          <w:kern w:val="0"/>
          <w:sz w:val="32"/>
          <w:szCs w:val="32"/>
          <w:lang w:val="en-US" w:eastAsia="zh-CN"/>
        </w:rPr>
        <w:t>不利于项目资金的绩效考核管理</w:t>
      </w:r>
      <w:r>
        <w:rPr>
          <w:rFonts w:ascii="仿宋" w:hAnsi="仿宋" w:eastAsia="仿宋" w:cs="仿宋"/>
          <w:color w:val="auto"/>
          <w:kern w:val="0"/>
          <w:sz w:val="32"/>
          <w:szCs w:val="32"/>
        </w:rPr>
        <w:t>。</w:t>
      </w:r>
    </w:p>
    <w:p>
      <w:pPr>
        <w:keepNext w:val="0"/>
        <w:keepLines w:val="0"/>
        <w:pageBreakBefore w:val="0"/>
        <w:kinsoku/>
        <w:wordWrap/>
        <w:overflowPunct/>
        <w:topLinePunct w:val="0"/>
        <w:autoSpaceDE/>
        <w:autoSpaceDN/>
        <w:bidi w:val="0"/>
        <w:adjustRightInd/>
        <w:snapToGrid/>
        <w:spacing w:line="500" w:lineRule="exact"/>
        <w:ind w:firstLine="414" w:firstLineChars="131"/>
        <w:textAlignment w:val="auto"/>
        <w:outlineLvl w:val="2"/>
        <w:rPr>
          <w:rFonts w:hint="eastAsia" w:ascii="楷体" w:hAnsi="楷体" w:eastAsia="楷体" w:cs="楷体"/>
          <w:color w:val="auto"/>
          <w:sz w:val="32"/>
          <w:szCs w:val="32"/>
        </w:rPr>
      </w:pPr>
      <w:r>
        <w:rPr>
          <w:rFonts w:hint="eastAsia" w:ascii="楷体" w:hAnsi="楷体" w:eastAsia="楷体" w:cs="楷体"/>
          <w:color w:val="auto"/>
          <w:sz w:val="32"/>
          <w:szCs w:val="32"/>
        </w:rPr>
        <w:t>（</w:t>
      </w:r>
      <w:r>
        <w:rPr>
          <w:rFonts w:hint="eastAsia" w:ascii="楷体" w:hAnsi="楷体" w:eastAsia="楷体" w:cs="楷体"/>
          <w:color w:val="auto"/>
          <w:sz w:val="32"/>
          <w:szCs w:val="32"/>
          <w:lang w:val="en-US" w:eastAsia="zh-CN"/>
        </w:rPr>
        <w:t>二</w:t>
      </w:r>
      <w:r>
        <w:rPr>
          <w:rFonts w:hint="eastAsia" w:ascii="楷体" w:hAnsi="楷体" w:eastAsia="楷体" w:cs="楷体"/>
          <w:color w:val="auto"/>
          <w:sz w:val="32"/>
          <w:szCs w:val="32"/>
        </w:rPr>
        <w:t>）</w:t>
      </w:r>
      <w:r>
        <w:rPr>
          <w:rFonts w:hint="eastAsia" w:ascii="楷体" w:hAnsi="楷体" w:eastAsia="楷体" w:cs="楷体"/>
          <w:color w:val="auto"/>
          <w:sz w:val="32"/>
          <w:szCs w:val="32"/>
          <w:lang w:val="en-US" w:eastAsia="zh-CN"/>
        </w:rPr>
        <w:t>项目实施规范性有待提高</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rPr>
        <w:t>项目</w:t>
      </w:r>
      <w:r>
        <w:rPr>
          <w:rFonts w:hint="eastAsia" w:ascii="仿宋" w:hAnsi="仿宋" w:eastAsia="仿宋" w:cs="仿宋"/>
          <w:color w:val="auto"/>
          <w:kern w:val="0"/>
          <w:sz w:val="32"/>
          <w:szCs w:val="32"/>
          <w:lang w:val="en-US" w:eastAsia="zh-CN"/>
        </w:rPr>
        <w:t>通过公开招标方式确定施工单位，但在签订施工合同中对于项目质保金的约定3%低于财政专项资金文件规定的5%比例。</w:t>
      </w:r>
      <w:r>
        <w:rPr>
          <w:rFonts w:hint="eastAsia" w:ascii="仿宋" w:hAnsi="仿宋" w:eastAsia="仿宋" w:cs="仿宋"/>
          <w:color w:val="auto"/>
          <w:sz w:val="32"/>
          <w:szCs w:val="32"/>
          <w:lang w:val="en-US" w:eastAsia="zh-CN"/>
        </w:rPr>
        <w:t>项目公示内容不完整，无资金来源、资金分配结果等信息。</w:t>
      </w:r>
      <w:r>
        <w:rPr>
          <w:rFonts w:hint="eastAsia" w:ascii="仿宋" w:hAnsi="仿宋" w:eastAsia="仿宋" w:cs="仿宋"/>
          <w:color w:val="auto"/>
          <w:kern w:val="0"/>
          <w:sz w:val="32"/>
          <w:szCs w:val="32"/>
          <w:lang w:val="en-US" w:eastAsia="zh-CN"/>
        </w:rPr>
        <w:t>项目档案未及时整理归档。</w:t>
      </w:r>
    </w:p>
    <w:p>
      <w:pPr>
        <w:keepNext w:val="0"/>
        <w:keepLines w:val="0"/>
        <w:pageBreakBefore w:val="0"/>
        <w:kinsoku/>
        <w:wordWrap/>
        <w:overflowPunct/>
        <w:topLinePunct w:val="0"/>
        <w:autoSpaceDE/>
        <w:autoSpaceDN/>
        <w:bidi w:val="0"/>
        <w:adjustRightInd/>
        <w:snapToGrid/>
        <w:spacing w:line="500" w:lineRule="exact"/>
        <w:ind w:firstLine="414" w:firstLineChars="131"/>
        <w:textAlignment w:val="auto"/>
        <w:outlineLvl w:val="2"/>
        <w:rPr>
          <w:rFonts w:hint="default" w:ascii="楷体" w:hAnsi="楷体" w:eastAsia="楷体" w:cs="楷体"/>
          <w:color w:val="auto"/>
          <w:sz w:val="32"/>
          <w:szCs w:val="32"/>
          <w:lang w:val="en-US" w:eastAsia="zh-CN"/>
        </w:rPr>
      </w:pPr>
      <w:r>
        <w:rPr>
          <w:rFonts w:hint="eastAsia" w:ascii="楷体" w:hAnsi="楷体" w:eastAsia="楷体" w:cs="楷体"/>
          <w:color w:val="auto"/>
          <w:sz w:val="32"/>
          <w:szCs w:val="32"/>
        </w:rPr>
        <w:t>（</w:t>
      </w:r>
      <w:r>
        <w:rPr>
          <w:rFonts w:hint="eastAsia" w:ascii="楷体" w:hAnsi="楷体" w:eastAsia="楷体" w:cs="楷体"/>
          <w:color w:val="auto"/>
          <w:sz w:val="32"/>
          <w:szCs w:val="32"/>
          <w:lang w:val="en-US" w:eastAsia="zh-CN"/>
        </w:rPr>
        <w:t>三</w:t>
      </w:r>
      <w:r>
        <w:rPr>
          <w:rFonts w:hint="eastAsia" w:ascii="楷体" w:hAnsi="楷体" w:eastAsia="楷体" w:cs="楷体"/>
          <w:color w:val="auto"/>
          <w:sz w:val="32"/>
          <w:szCs w:val="32"/>
        </w:rPr>
        <w:t>）</w:t>
      </w:r>
      <w:r>
        <w:rPr>
          <w:rFonts w:hint="eastAsia" w:ascii="楷体" w:hAnsi="楷体" w:eastAsia="楷体" w:cs="楷体"/>
          <w:color w:val="auto"/>
          <w:sz w:val="32"/>
          <w:szCs w:val="32"/>
          <w:lang w:val="en-US" w:eastAsia="zh-CN"/>
        </w:rPr>
        <w:t>群众满意度未达到目标值</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经评价人员走访项目建设地群众，并发放调查问卷10份，其中7份调查问卷反映对项目实施效果非常满意、3份为满意，加权平均后满意度为94%，未达到预期目标值95%。</w:t>
      </w:r>
    </w:p>
    <w:p>
      <w:pPr>
        <w:keepNext w:val="0"/>
        <w:keepLines w:val="0"/>
        <w:pageBreakBefore w:val="0"/>
        <w:widowControl/>
        <w:suppressLineNumbers/>
        <w:kinsoku/>
        <w:wordWrap/>
        <w:overflowPunct/>
        <w:topLinePunct w:val="0"/>
        <w:autoSpaceDE/>
        <w:autoSpaceDN/>
        <w:bidi w:val="0"/>
        <w:adjustRightInd/>
        <w:snapToGrid/>
        <w:spacing w:line="500" w:lineRule="exact"/>
        <w:ind w:firstLine="632" w:firstLineChars="200"/>
        <w:jc w:val="left"/>
        <w:textAlignment w:val="auto"/>
        <w:outlineLvl w:val="1"/>
        <w:rPr>
          <w:rFonts w:ascii="黑体" w:hAnsi="黑体" w:eastAsia="黑体" w:cs="黑体"/>
          <w:bCs/>
          <w:color w:val="auto"/>
          <w:sz w:val="32"/>
          <w:szCs w:val="32"/>
        </w:rPr>
      </w:pPr>
      <w:r>
        <w:rPr>
          <w:rFonts w:hint="eastAsia" w:ascii="黑体" w:hAnsi="黑体" w:eastAsia="黑体" w:cs="黑体"/>
          <w:bCs/>
          <w:color w:val="auto"/>
          <w:sz w:val="32"/>
          <w:szCs w:val="32"/>
        </w:rPr>
        <w:t>四、结果应用建议</w:t>
      </w:r>
    </w:p>
    <w:p>
      <w:pPr>
        <w:keepNext w:val="0"/>
        <w:keepLines w:val="0"/>
        <w:pageBreakBefore w:val="0"/>
        <w:kinsoku/>
        <w:wordWrap/>
        <w:overflowPunct/>
        <w:topLinePunct w:val="0"/>
        <w:autoSpaceDE/>
        <w:autoSpaceDN/>
        <w:bidi w:val="0"/>
        <w:adjustRightInd/>
        <w:snapToGrid/>
        <w:spacing w:line="500" w:lineRule="exact"/>
        <w:ind w:firstLine="420" w:firstLineChars="133"/>
        <w:textAlignment w:val="auto"/>
        <w:rPr>
          <w:rFonts w:hint="eastAsia" w:ascii="楷体_GB2312" w:hAnsi="楷体_GB2312" w:eastAsia="楷体_GB2312" w:cs="楷体_GB2312"/>
          <w:color w:val="auto"/>
          <w:kern w:val="0"/>
          <w:sz w:val="32"/>
          <w:szCs w:val="32"/>
        </w:rPr>
      </w:pPr>
      <w:r>
        <w:rPr>
          <w:rFonts w:hint="eastAsia" w:ascii="楷体_GB2312" w:hAnsi="楷体_GB2312" w:eastAsia="楷体_GB2312" w:cs="楷体_GB2312"/>
          <w:color w:val="auto"/>
          <w:kern w:val="0"/>
          <w:sz w:val="32"/>
          <w:szCs w:val="32"/>
        </w:rPr>
        <w:t>（一）</w:t>
      </w:r>
      <w:r>
        <w:rPr>
          <w:rFonts w:hint="eastAsia" w:ascii="楷体_GB2312" w:hAnsi="楷体_GB2312" w:eastAsia="楷体_GB2312" w:cs="楷体_GB2312"/>
          <w:color w:val="auto"/>
          <w:kern w:val="0"/>
          <w:sz w:val="32"/>
          <w:szCs w:val="32"/>
          <w:lang w:val="en-US" w:eastAsia="zh-CN"/>
        </w:rPr>
        <w:t>合理设置绩效指标</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项目实施单位根据项目建设地点的地质条件、施工难度等因素综合考虑后合理确定工期，设定项目绩效目标，便于项目完成时对项目产出的考核、效果的评价，从而有效提高资金使用效益和项目管理水平。</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eastAsia" w:ascii="楷体_GB2312" w:hAnsi="楷体_GB2312" w:eastAsia="楷体_GB2312" w:cs="楷体_GB2312"/>
          <w:color w:val="auto"/>
          <w:kern w:val="0"/>
          <w:sz w:val="32"/>
          <w:szCs w:val="32"/>
        </w:rPr>
      </w:pPr>
      <w:r>
        <w:rPr>
          <w:rFonts w:hint="eastAsia" w:ascii="楷体_GB2312" w:hAnsi="楷体_GB2312" w:eastAsia="楷体_GB2312" w:cs="楷体_GB2312"/>
          <w:color w:val="auto"/>
          <w:kern w:val="0"/>
          <w:sz w:val="32"/>
          <w:szCs w:val="32"/>
          <w:lang w:eastAsia="zh-CN"/>
        </w:rPr>
        <w:t>（</w:t>
      </w:r>
      <w:r>
        <w:rPr>
          <w:rFonts w:hint="eastAsia" w:ascii="楷体_GB2312" w:hAnsi="楷体_GB2312" w:eastAsia="楷体_GB2312" w:cs="楷体_GB2312"/>
          <w:color w:val="auto"/>
          <w:kern w:val="0"/>
          <w:sz w:val="32"/>
          <w:szCs w:val="32"/>
          <w:lang w:val="en-US" w:eastAsia="zh-CN"/>
        </w:rPr>
        <w:t>二</w:t>
      </w:r>
      <w:r>
        <w:rPr>
          <w:rFonts w:hint="eastAsia" w:ascii="楷体_GB2312" w:hAnsi="楷体_GB2312" w:eastAsia="楷体_GB2312" w:cs="楷体_GB2312"/>
          <w:color w:val="auto"/>
          <w:kern w:val="0"/>
          <w:sz w:val="32"/>
          <w:szCs w:val="32"/>
          <w:lang w:eastAsia="zh-CN"/>
        </w:rPr>
        <w:t>）</w:t>
      </w:r>
      <w:r>
        <w:rPr>
          <w:rFonts w:hint="eastAsia" w:ascii="楷体_GB2312" w:hAnsi="楷体_GB2312" w:eastAsia="楷体_GB2312" w:cs="楷体_GB2312"/>
          <w:color w:val="auto"/>
          <w:kern w:val="0"/>
          <w:sz w:val="32"/>
          <w:szCs w:val="32"/>
        </w:rPr>
        <w:t>加强项目</w:t>
      </w:r>
      <w:r>
        <w:rPr>
          <w:rFonts w:hint="eastAsia" w:ascii="楷体_GB2312" w:hAnsi="楷体_GB2312" w:eastAsia="楷体_GB2312" w:cs="楷体_GB2312"/>
          <w:color w:val="auto"/>
          <w:kern w:val="0"/>
          <w:sz w:val="32"/>
          <w:szCs w:val="32"/>
          <w:lang w:val="en-US" w:eastAsia="zh-CN"/>
        </w:rPr>
        <w:t>实施</w:t>
      </w:r>
      <w:r>
        <w:rPr>
          <w:rFonts w:hint="eastAsia" w:ascii="楷体_GB2312" w:hAnsi="楷体_GB2312" w:eastAsia="楷体_GB2312" w:cs="楷体_GB2312"/>
          <w:color w:val="auto"/>
          <w:kern w:val="0"/>
          <w:sz w:val="32"/>
          <w:szCs w:val="32"/>
        </w:rPr>
        <w:t>管理</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照财政专项资金要求，在建设合同签订时约定预留5%的项目质保金。准确、完整、全面、及时的公示项目资金情况，接受群众和社会监督。项目档案实行单独归档、专人管理，根据项目档案管理规定进行收集、整理、归档、保管，保持档案的真实性、完整性，为项目建设、验收、绩效评价等提供服务。</w:t>
      </w:r>
    </w:p>
    <w:p>
      <w:pPr>
        <w:keepNext w:val="0"/>
        <w:keepLines w:val="0"/>
        <w:pageBreakBefore w:val="0"/>
        <w:kinsoku/>
        <w:wordWrap/>
        <w:overflowPunct/>
        <w:topLinePunct w:val="0"/>
        <w:autoSpaceDE/>
        <w:autoSpaceDN/>
        <w:bidi w:val="0"/>
        <w:adjustRightInd/>
        <w:snapToGrid/>
        <w:spacing w:line="500" w:lineRule="exact"/>
        <w:ind w:firstLine="420" w:firstLineChars="133"/>
        <w:textAlignment w:val="auto"/>
        <w:rPr>
          <w:rFonts w:hint="eastAsia" w:ascii="楷体_GB2312" w:hAnsi="楷体_GB2312" w:eastAsia="楷体_GB2312" w:cs="楷体_GB2312"/>
          <w:color w:val="auto"/>
          <w:kern w:val="0"/>
          <w:sz w:val="32"/>
          <w:szCs w:val="32"/>
        </w:rPr>
      </w:pPr>
      <w:r>
        <w:rPr>
          <w:rFonts w:hint="eastAsia" w:ascii="楷体_GB2312" w:hAnsi="楷体_GB2312" w:eastAsia="楷体_GB2312" w:cs="楷体_GB2312"/>
          <w:color w:val="auto"/>
          <w:kern w:val="0"/>
          <w:sz w:val="32"/>
          <w:szCs w:val="32"/>
          <w:lang w:eastAsia="zh-CN"/>
        </w:rPr>
        <w:t>（</w:t>
      </w:r>
      <w:r>
        <w:rPr>
          <w:rFonts w:hint="eastAsia" w:ascii="楷体_GB2312" w:hAnsi="楷体_GB2312" w:eastAsia="楷体_GB2312" w:cs="楷体_GB2312"/>
          <w:color w:val="auto"/>
          <w:kern w:val="0"/>
          <w:sz w:val="32"/>
          <w:szCs w:val="32"/>
          <w:lang w:val="en-US" w:eastAsia="zh-CN"/>
        </w:rPr>
        <w:t>三）</w:t>
      </w:r>
      <w:r>
        <w:rPr>
          <w:rFonts w:hint="eastAsia" w:ascii="楷体_GB2312" w:hAnsi="楷体_GB2312" w:eastAsia="楷体_GB2312" w:cs="楷体_GB2312"/>
          <w:color w:val="auto"/>
          <w:kern w:val="0"/>
          <w:sz w:val="32"/>
          <w:szCs w:val="32"/>
        </w:rPr>
        <w:t>提高</w:t>
      </w:r>
      <w:r>
        <w:rPr>
          <w:rFonts w:hint="eastAsia" w:ascii="楷体_GB2312" w:hAnsi="楷体_GB2312" w:eastAsia="楷体_GB2312" w:cs="楷体_GB2312"/>
          <w:color w:val="auto"/>
          <w:kern w:val="0"/>
          <w:sz w:val="32"/>
          <w:szCs w:val="32"/>
          <w:lang w:val="en-US" w:eastAsia="zh-CN"/>
        </w:rPr>
        <w:t>受益群众满意度</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走访了解项目建设地社会群众对项目实施效果的评价情况，收集群众对项目工作存在的意见或者建议，为以后开展建设项目积累经验，进一步提高群众满意度。</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outlineLvl w:val="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附件：杨林桥镇畜禽粪污资源化利用项目财政评价表</w:t>
      </w:r>
    </w:p>
    <w:tbl>
      <w:tblPr>
        <w:tblStyle w:val="11"/>
        <w:tblW w:w="10662" w:type="dxa"/>
        <w:tblInd w:w="-77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5"/>
        <w:gridCol w:w="497"/>
        <w:gridCol w:w="657"/>
        <w:gridCol w:w="2262"/>
        <w:gridCol w:w="4327"/>
        <w:gridCol w:w="577"/>
        <w:gridCol w:w="623"/>
        <w:gridCol w:w="13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一级指标</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二级指标</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三级指标</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指标解释</w:t>
            </w:r>
          </w:p>
        </w:tc>
        <w:tc>
          <w:tcPr>
            <w:tcW w:w="4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评分标准</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分值</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评价得分</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4" w:hRule="atLeast"/>
        </w:trPr>
        <w:tc>
          <w:tcPr>
            <w:tcW w:w="4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决策</w:t>
            </w:r>
          </w:p>
        </w:tc>
        <w:tc>
          <w:tcPr>
            <w:tcW w:w="4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项目立项</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调查研究</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考察项目决策环节，为了解项目实施的必要性和可行性而开展的调查研究实施是否全面、详实。对政府专项项目，调研研究主要考察专项下各子项设立的决策分析是否扎实。</w:t>
            </w:r>
          </w:p>
        </w:tc>
        <w:tc>
          <w:tcPr>
            <w:tcW w:w="4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①项目前期结合项目实施内容和范围开展了必要的调查研究，得2分；②取得的调查数据详实、真实，具有代表性，与项目内容高度相关，得2分。</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3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ind w:right="268" w:rightChars="85"/>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5" w:hRule="atLeast"/>
        </w:trPr>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规划设计</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考察项目实施单位对拟实施项目的规划设计方案是否科学、高效。</w:t>
            </w:r>
          </w:p>
        </w:tc>
        <w:tc>
          <w:tcPr>
            <w:tcW w:w="4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规划设计充分体现项目实施的必要性和迫切性，得1分；②项目规划设计充分考虑现实的可行性，包括政策的、技术的、市场的可行性等，得1分；③项目规划设计体现成本效益最大化，方案能够考虑财政承受能力、可持续发展，科学合理确定政府采购需求，体现厉行节约的思想，得1分；④项目规划设计能够说明资金渠道及各类资金来源，能够体现资金来源的可靠性和安全性，得1分。</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3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5" w:hRule="atLeast"/>
        </w:trPr>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评估论证</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考察项目立项或确立环节的评估论证是否科学、规范、有效。</w:t>
            </w:r>
          </w:p>
        </w:tc>
        <w:tc>
          <w:tcPr>
            <w:tcW w:w="4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①经过部门以上级别组织的集体决策或评估论证，程序合法合规，得2分；②组织专家、专业机构开展行之有效的评估论证，获得比较客观、公正、准确的结论，得2分。</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trPr>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绩效 目标</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项目绩效目标</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考察项目绩效目标设置是否科学、准确、规范。</w:t>
            </w:r>
          </w:p>
        </w:tc>
        <w:tc>
          <w:tcPr>
            <w:tcW w:w="4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绩效目标设置比较全面、规范、准确，得1分；②绩效指标设计能充分体现重要性、相关性原则，得1分；③绩效指标设计能充分体现成本效益最大化原则，得1分；④绩效指标值设置有科学依据，既要符合客观实际，又要体现适度增长，得1分。</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项目时效指标设定不合理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1" w:hRule="atLeast"/>
        </w:trPr>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资金 投入</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预算编制</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预算编制是否合理、规范。一是支出内容是否合理，是否与项目工作内容和绩效目标高度相关；二是预算明细是否详尽清晰，是否能对每一项支出分解到最小单元（数量*单价）；三是数量和单价的测算依据来源是否可信可靠。</w:t>
            </w:r>
          </w:p>
        </w:tc>
        <w:tc>
          <w:tcPr>
            <w:tcW w:w="4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支出内容合理，与项目工作内容和绩效目标高度相关，得1分；②项目预算明细表详尽清晰，对每一项支出能够分解到最小单元（数量*单价），得1分；③项目预算所依据的标准合理合规，如所需数量和单价确定的依据来源可靠，得1分。</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w:t>
            </w:r>
          </w:p>
        </w:tc>
        <w:tc>
          <w:tcPr>
            <w:tcW w:w="13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预算分配</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考察预算分配程序是否公平、公开、公正。预算分配包括区域之间的分配、子项目之间的分配。</w:t>
            </w:r>
          </w:p>
        </w:tc>
        <w:tc>
          <w:tcPr>
            <w:tcW w:w="4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①项目预算资金分配遵循严格规范的程序，确保公开、公正，得1分；②分配的标准统一、公平、合理，得1分。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如不涉及资金分配，本项默认满分。</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13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5" w:hRule="atLeast"/>
        </w:trPr>
        <w:tc>
          <w:tcPr>
            <w:tcW w:w="4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过程</w:t>
            </w:r>
          </w:p>
        </w:tc>
        <w:tc>
          <w:tcPr>
            <w:tcW w:w="4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业务</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管理</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管理措施</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考察项目实施单位的业务管理制度是否规范、全面、有效。</w:t>
            </w:r>
          </w:p>
        </w:tc>
        <w:tc>
          <w:tcPr>
            <w:tcW w:w="4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①项目业务管理制度制定全面，得1分；②为项目建设配套了管理机构、人员等支撑，得1分；③建立了保障项目顺利实施的工作机制，得1分。</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w:t>
            </w:r>
          </w:p>
        </w:tc>
        <w:tc>
          <w:tcPr>
            <w:tcW w:w="13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5" w:hRule="atLeast"/>
        </w:trPr>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项目实施</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考察项目实施单位项目实施是否符合实施方案或相关管理规定要求。</w:t>
            </w:r>
          </w:p>
        </w:tc>
        <w:tc>
          <w:tcPr>
            <w:tcW w:w="4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招投标、采购、建设、验收等严格执行方案要求或相关制度规定，政府采购项目全过程信息公开，得1分；②项目的设立及调整按规定履行报批程序，得1分；③项目资金公示内容完整、明晰、细化，并公布监督举报电话，得1分；④建设项目施工合同书、验收报告、成果等资料是否齐全、准确并及时归档，得1分。</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项目质保金3%低于财政专项资金文件规定的5%，项目概况牌中未公示资金来源、资金分配结果等信息。项目资料基本齐全，但未整理归档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7" w:hRule="atLeast"/>
        </w:trPr>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监督评价</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考察项目实施单位保障项目质量要求采取的措施是否及时、有效。</w:t>
            </w:r>
          </w:p>
        </w:tc>
        <w:tc>
          <w:tcPr>
            <w:tcW w:w="4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为保障项目质量，项目实施过程中，采取有效的监督、检查等控制措施或手段，得1分；②项目实施完毕后，组织专家或专业机构进行考核验收，政府采购项目规范开展履约验收，得1分；③能够按时完成绩效自评，并能够客观真实的反映成绩和问题，得1分；④对比上一年度绩效评价、审计、巡视巡查反映情况与今年项目实施情况，按时整改到位，按要求报送绩效评价整改情况的，得1分。</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3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7" w:hRule="atLeast"/>
        </w:trPr>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财务           管理</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使用合法性</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考察资金拨付、使用是否合法、合规。</w:t>
            </w:r>
          </w:p>
        </w:tc>
        <w:tc>
          <w:tcPr>
            <w:tcW w:w="4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①资金拨付有完整的审批程序和手续，政府采购项目按照规定支付预付款、进度款和结算款，得2分；②资金专款专用，无挤占、挪用、虚列支出等情况，得2分。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（如20%及以上的项目资金支出与项目预算内容无关，则绩效评价得分整体扣40分）。</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资金使用率</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通过资金使用率考察预算单位预算编制准确性和项目执行力度。</w:t>
            </w:r>
          </w:p>
        </w:tc>
        <w:tc>
          <w:tcPr>
            <w:tcW w:w="4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财政拨付的预算资金90%及以上使用得4分；80%及以上得3分；70%及以上得2分；70%（不含）以下不得分。</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3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资金使用率100%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4" w:hRule="atLeast"/>
        </w:trPr>
        <w:tc>
          <w:tcPr>
            <w:tcW w:w="4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产出</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数量 指标</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实际完成率</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反映和考核项目产出数量目标的实现程度。</w:t>
            </w:r>
          </w:p>
        </w:tc>
        <w:tc>
          <w:tcPr>
            <w:tcW w:w="4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实际完成率=（实际产出数/计划产出数）×100%</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实际产出数：一定时期（本年度或项目期）内杨林桥镇畜禽粪污资源化利用项目建设完成数量。</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计划产出数：项目绩效目标确定的在一定时期内（本年度或项目期）内杨林桥镇畜禽粪污资源化利用项目建设计划数量。                            ①新建有机肥厂1个，建设内容包括新建车间及仓库6715.50㎡，得5分，实际产出数量减少1%扣0.5分，扣完为止；                                             ②购置生产设备共计22台套，得5分，实际产出数量减少1台扣1分，扣完为止；</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w:t>
            </w:r>
          </w:p>
        </w:tc>
        <w:tc>
          <w:tcPr>
            <w:tcW w:w="13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质量 指标</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质量达标率</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反映和考核项目产出质量目标的实现程度。</w:t>
            </w:r>
          </w:p>
        </w:tc>
        <w:tc>
          <w:tcPr>
            <w:tcW w:w="4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质量达标率=（质量达标产出数/实际产出数）×100%</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质量达标产出数：一定时期（本年度或项目期）内实际达到质量标准的工程和项目。</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①工程质量、验收合格率达到100%，得5分，否则不得分；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 xml:space="preserve">②货物质量、验收合格率达到100%，得5分，否则不得分；  </w:t>
            </w:r>
            <w:r>
              <w:rPr>
                <w:rStyle w:val="17"/>
                <w:sz w:val="15"/>
                <w:szCs w:val="15"/>
                <w:lang w:val="en-US" w:eastAsia="zh-CN" w:bidi="ar"/>
              </w:rPr>
              <w:t xml:space="preserve">  </w:t>
            </w:r>
            <w:r>
              <w:rPr>
                <w:rFonts w:hint="eastAsia" w:ascii="宋体" w:hAnsi="宋体" w:eastAsia="宋体" w:cs="宋体"/>
                <w:i w:val="0"/>
                <w:iCs w:val="0"/>
                <w:color w:val="000000"/>
                <w:kern w:val="0"/>
                <w:sz w:val="15"/>
                <w:szCs w:val="15"/>
                <w:u w:val="none"/>
                <w:lang w:val="en-US" w:eastAsia="zh-CN" w:bidi="ar"/>
              </w:rPr>
              <w:t xml:space="preserve">                                          </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w:t>
            </w:r>
          </w:p>
        </w:tc>
        <w:tc>
          <w:tcPr>
            <w:tcW w:w="13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0" w:hRule="atLeast"/>
        </w:trPr>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时效 指标</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时效达标率</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反映和考核项目产出时效目标的实现程度。</w:t>
            </w:r>
          </w:p>
        </w:tc>
        <w:tc>
          <w:tcPr>
            <w:tcW w:w="4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实际完成时间：项目开工、验收、资金拨付实际所耗用的时间。</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计划完成时间：项目开工、验收、资金拨付约定的完成时间。</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①项目按时开工率达到100%，得2分；低于100%的，按比例得分；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②项目按时竣工验收率达到100%，得5分；低于100%的，按比例得分；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③项目资金按时拨付率达到100%，得3分；低于100%的，按比例得分。</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目标工期240天，2021年10月20日开工，2022年8月完工、10月通过政府验收，实际工期超过计划工期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7" w:hRule="atLeast"/>
        </w:trPr>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成本 指标</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成本节约率</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完成项目计划工作目标的实际节约成本与计划成本的比率，用以反映和考核项目的成本节约程度。</w:t>
            </w:r>
          </w:p>
        </w:tc>
        <w:tc>
          <w:tcPr>
            <w:tcW w:w="4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成本节约率=[(计划成本-实际成本)/计划成本]×100%</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实际成本：项目实施单位如期、保质、保量完成既定工作目标实际所耗费的支出。</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计划成本：项目实施单位为完成工作目标计划安排的支出，以项目预算为参考。</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成本节约率大于等于0，得10分；因项目增加、变更导致项目超支10%以内扣5分，否则不得分。</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7" w:hRule="atLeast"/>
        </w:trPr>
        <w:tc>
          <w:tcPr>
            <w:tcW w:w="4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效益</w:t>
            </w:r>
          </w:p>
        </w:tc>
        <w:tc>
          <w:tcPr>
            <w:tcW w:w="4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实施效益及满意度</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经济效益</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项目实施对经济发展所带来的直接或间接影响情况。</w:t>
            </w:r>
          </w:p>
        </w:tc>
        <w:tc>
          <w:tcPr>
            <w:tcW w:w="4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①降低养殖成本，畜牧粪便就近处理或施入农田，节约运输人工等资源，得2分；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②新增就业岗位，增加群众经济收入，得2分。</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3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9" w:hRule="atLeast"/>
        </w:trPr>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社会效益</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项目实施对社会发展所带来的直接或间接影响情况。</w:t>
            </w:r>
          </w:p>
        </w:tc>
        <w:tc>
          <w:tcPr>
            <w:tcW w:w="4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①将畜牧粪便处理生产加工为有机肥，替代部分化肥，减少化肥使用量，降低种植成本，得2分；                                                   ②提高畜牧粪污处理能力，增强养殖户公共卫生意识，实现生态循环农业高质量发展，得2分； </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3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FF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生态效益</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项目实施对生态环境所带来的直接或间接影响情况。</w:t>
            </w:r>
          </w:p>
        </w:tc>
        <w:tc>
          <w:tcPr>
            <w:tcW w:w="4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①生态环境改善明显，得2分，否则得0分；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②生态环境影响为正面，无投诉，得2分，否则得0分</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3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3" w:hRule="atLeast"/>
        </w:trPr>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可持续影响</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项目后续运行及成效发挥的可持续影响情况。</w:t>
            </w:r>
          </w:p>
        </w:tc>
        <w:tc>
          <w:tcPr>
            <w:tcW w:w="4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建立种养殖业循环生产和废弃物资源化利用体系，减少种植业化肥的使用量，降低化肥面源的污染，降低农业生产成本，促进农业生态循环经济的发展，增加经济收入，使杨林桥镇畜牧业走上绿色、健康、可持续发展道路，得4分；                </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3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2" w:hRule="atLeast"/>
        </w:trPr>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满意度</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受益人群对项目实施效果的满意程度。</w:t>
            </w:r>
          </w:p>
        </w:tc>
        <w:tc>
          <w:tcPr>
            <w:tcW w:w="4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采取问卷调查的方式，调查了解因项目实施而受到影响的社会群众对项目实施效果的满意程度，以调查得分按比例计分，满意度达95%得4分，94%≤满意度≥80%按比例得分，小于80%不得分。</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3.73 </w:t>
            </w:r>
          </w:p>
        </w:tc>
        <w:tc>
          <w:tcPr>
            <w:tcW w:w="13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满意度为94%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trPr>
        <w:tc>
          <w:tcPr>
            <w:tcW w:w="156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评价总分</w:t>
            </w:r>
          </w:p>
        </w:tc>
        <w:tc>
          <w:tcPr>
            <w:tcW w:w="2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b/>
                <w:bCs/>
                <w:i w:val="0"/>
                <w:iCs w:val="0"/>
                <w:color w:val="000000"/>
                <w:sz w:val="16"/>
                <w:szCs w:val="16"/>
                <w:u w:val="none"/>
              </w:rPr>
            </w:pPr>
          </w:p>
        </w:tc>
        <w:tc>
          <w:tcPr>
            <w:tcW w:w="4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b/>
                <w:bCs/>
                <w:i w:val="0"/>
                <w:iCs w:val="0"/>
                <w:color w:val="000000"/>
                <w:sz w:val="16"/>
                <w:szCs w:val="16"/>
                <w:u w:val="none"/>
              </w:rPr>
            </w:pPr>
          </w:p>
        </w:tc>
        <w:tc>
          <w:tcPr>
            <w:tcW w:w="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100</w:t>
            </w:r>
          </w:p>
        </w:tc>
        <w:tc>
          <w:tcPr>
            <w:tcW w:w="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90.73</w:t>
            </w:r>
          </w:p>
        </w:tc>
        <w:tc>
          <w:tcPr>
            <w:tcW w:w="13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b/>
                <w:bCs/>
                <w:i w:val="0"/>
                <w:iCs w:val="0"/>
                <w:color w:val="000000"/>
                <w:sz w:val="15"/>
                <w:szCs w:val="15"/>
                <w:u w:val="none"/>
              </w:rPr>
            </w:pPr>
          </w:p>
        </w:tc>
      </w:tr>
    </w:tbl>
    <w:p>
      <w:pPr>
        <w:ind w:firstLine="632" w:firstLineChars="200"/>
        <w:rPr>
          <w:rFonts w:hint="default" w:ascii="仿宋" w:hAnsi="仿宋" w:eastAsia="仿宋" w:cs="仿宋"/>
          <w:color w:val="auto"/>
          <w:sz w:val="32"/>
          <w:szCs w:val="32"/>
          <w:lang w:val="en-US" w:eastAsia="zh-CN"/>
        </w:rPr>
      </w:pPr>
    </w:p>
    <w:p>
      <w:pPr>
        <w:rPr>
          <w:rFonts w:hint="default"/>
          <w:lang w:val="en-US" w:eastAsia="zh-CN"/>
        </w:rPr>
      </w:pPr>
      <w:bookmarkStart w:id="2" w:name="_GoBack"/>
      <w:bookmarkEnd w:id="2"/>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00" w:lineRule="exact"/>
        <w:jc w:val="both"/>
        <w:textAlignment w:val="auto"/>
        <w:outlineLvl w:val="0"/>
        <w:rPr>
          <w:rFonts w:hint="eastAsia" w:ascii="仿宋_GB2312" w:hAnsi="仿宋_GB2312" w:eastAsia="仿宋_GB2312" w:cs="仿宋_GB2312"/>
          <w:b w:val="0"/>
          <w:bCs w:val="0"/>
          <w:color w:val="auto"/>
          <w:sz w:val="44"/>
          <w:szCs w:val="44"/>
          <w:lang w:val="en-US" w:eastAsia="zh-CN"/>
        </w:rPr>
      </w:pPr>
      <w:r>
        <w:rPr>
          <w:rFonts w:hint="eastAsia" w:ascii="仿宋_GB2312" w:hAnsi="仿宋_GB2312" w:eastAsia="仿宋_GB2312" w:cs="仿宋_GB2312"/>
          <w:b w:val="0"/>
          <w:bCs w:val="0"/>
          <w:color w:val="auto"/>
          <w:sz w:val="44"/>
          <w:szCs w:val="44"/>
          <w:lang w:val="en-US" w:eastAsia="zh-CN"/>
        </w:rPr>
        <w:t xml:space="preserve"> 附件三</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00" w:lineRule="exact"/>
        <w:jc w:val="center"/>
        <w:textAlignment w:val="auto"/>
        <w:outlineLvl w:val="0"/>
        <w:rPr>
          <w:rFonts w:hint="eastAsia" w:ascii="方正小标宋简体" w:hAnsi="方正小标宋简体" w:eastAsia="方正小标宋简体" w:cs="方正小标宋简体"/>
          <w:color w:val="auto"/>
          <w:kern w:val="2"/>
          <w:sz w:val="44"/>
          <w:szCs w:val="44"/>
          <w:lang w:val="en-US" w:eastAsia="zh-CN" w:bidi="ar-SA"/>
        </w:rPr>
      </w:pPr>
      <w:r>
        <w:rPr>
          <w:rFonts w:hint="eastAsia" w:ascii="方正小标宋简体" w:hAnsi="方正小标宋简体" w:eastAsia="方正小标宋简体" w:cs="方正小标宋简体"/>
          <w:color w:val="auto"/>
          <w:kern w:val="2"/>
          <w:sz w:val="44"/>
          <w:szCs w:val="44"/>
          <w:lang w:val="en-US" w:eastAsia="zh-CN" w:bidi="ar-SA"/>
        </w:rPr>
        <w:t>2022年度白鹤洞村烤烟配套设施项目</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00" w:lineRule="exact"/>
        <w:jc w:val="center"/>
        <w:textAlignment w:val="auto"/>
        <w:outlineLvl w:val="0"/>
        <w:rPr>
          <w:rFonts w:hint="eastAsia" w:ascii="方正小标宋简体" w:hAnsi="方正小标宋简体" w:eastAsia="方正小标宋简体" w:cs="方正小标宋简体"/>
          <w:b/>
          <w:bCs/>
          <w:color w:val="auto"/>
          <w:sz w:val="44"/>
          <w:szCs w:val="44"/>
          <w:lang w:val="en-US" w:eastAsia="zh-CN"/>
        </w:rPr>
      </w:pPr>
      <w:r>
        <w:rPr>
          <w:rFonts w:hint="eastAsia" w:ascii="方正小标宋简体" w:hAnsi="方正小标宋简体" w:eastAsia="方正小标宋简体" w:cs="方正小标宋简体"/>
          <w:color w:val="auto"/>
          <w:kern w:val="2"/>
          <w:sz w:val="44"/>
          <w:szCs w:val="44"/>
          <w:lang w:val="en-US" w:eastAsia="zh-CN" w:bidi="ar-SA"/>
        </w:rPr>
        <w:t>财政评价结果</w:t>
      </w:r>
    </w:p>
    <w:p>
      <w:pPr>
        <w:keepNext w:val="0"/>
        <w:keepLines w:val="0"/>
        <w:pageBreakBefore w:val="0"/>
        <w:widowControl/>
        <w:kinsoku/>
        <w:wordWrap/>
        <w:overflowPunct/>
        <w:topLinePunct w:val="0"/>
        <w:autoSpaceDE/>
        <w:autoSpaceDN/>
        <w:bidi w:val="0"/>
        <w:adjustRightInd/>
        <w:snapToGrid/>
        <w:spacing w:line="500" w:lineRule="exact"/>
        <w:ind w:firstLine="632" w:firstLineChars="200"/>
        <w:jc w:val="left"/>
        <w:textAlignment w:val="auto"/>
        <w:outlineLvl w:val="1"/>
        <w:rPr>
          <w:rFonts w:ascii="黑体" w:hAnsi="黑体" w:eastAsia="黑体" w:cs="黑体"/>
          <w:bCs/>
          <w:color w:val="auto"/>
          <w:sz w:val="32"/>
          <w:szCs w:val="32"/>
        </w:rPr>
      </w:pPr>
      <w:r>
        <w:rPr>
          <w:rFonts w:hint="eastAsia" w:ascii="黑体" w:hAnsi="黑体" w:eastAsia="黑体" w:cs="黑体"/>
          <w:bCs/>
          <w:color w:val="auto"/>
          <w:sz w:val="32"/>
          <w:szCs w:val="32"/>
        </w:rPr>
        <w:t>一、评价分数和等级</w:t>
      </w:r>
    </w:p>
    <w:p>
      <w:pPr>
        <w:pStyle w:val="10"/>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rPr>
          <w:rFonts w:ascii="仿宋" w:hAnsi="仿宋" w:eastAsia="仿宋" w:cs="仿宋"/>
          <w:color w:val="auto"/>
          <w:sz w:val="32"/>
          <w:szCs w:val="32"/>
        </w:rPr>
      </w:pPr>
      <w:r>
        <w:rPr>
          <w:rFonts w:hint="eastAsia" w:ascii="仿宋" w:hAnsi="仿宋" w:eastAsia="仿宋" w:cs="仿宋"/>
          <w:color w:val="auto"/>
          <w:sz w:val="32"/>
          <w:szCs w:val="32"/>
          <w:lang w:eastAsia="zh-CN"/>
        </w:rPr>
        <w:t>秭归县乡村振兴局2022年白鹤洞村烤烟配套设施项目</w:t>
      </w:r>
      <w:r>
        <w:rPr>
          <w:rFonts w:hint="eastAsia" w:ascii="仿宋" w:hAnsi="仿宋" w:eastAsia="仿宋" w:cs="仿宋"/>
          <w:color w:val="auto"/>
          <w:sz w:val="32"/>
          <w:szCs w:val="32"/>
        </w:rPr>
        <w:t>绩效评分为</w:t>
      </w:r>
      <w:r>
        <w:rPr>
          <w:rFonts w:hint="eastAsia" w:ascii="仿宋" w:hAnsi="仿宋" w:eastAsia="仿宋" w:cs="仿宋"/>
          <w:color w:val="auto"/>
          <w:sz w:val="32"/>
          <w:szCs w:val="32"/>
          <w:lang w:val="en-US" w:eastAsia="zh-CN"/>
        </w:rPr>
        <w:t>94</w:t>
      </w:r>
      <w:r>
        <w:rPr>
          <w:rFonts w:hint="eastAsia" w:ascii="仿宋" w:hAnsi="仿宋" w:eastAsia="仿宋" w:cs="仿宋"/>
          <w:color w:val="auto"/>
          <w:sz w:val="32"/>
          <w:szCs w:val="32"/>
        </w:rPr>
        <w:t>分,绩效等级为“</w:t>
      </w:r>
      <w:r>
        <w:rPr>
          <w:rFonts w:hint="eastAsia" w:ascii="仿宋" w:hAnsi="仿宋" w:eastAsia="仿宋" w:cs="仿宋"/>
          <w:color w:val="auto"/>
          <w:sz w:val="32"/>
          <w:szCs w:val="32"/>
          <w:lang w:val="en-US" w:eastAsia="zh-CN"/>
        </w:rPr>
        <w:t>优</w:t>
      </w:r>
      <w:r>
        <w:rPr>
          <w:rFonts w:ascii="仿宋" w:hAnsi="仿宋" w:eastAsia="仿宋" w:cs="仿宋"/>
          <w:color w:val="auto"/>
          <w:sz w:val="32"/>
          <w:szCs w:val="32"/>
        </w:rPr>
        <w:t>”</w:t>
      </w:r>
      <w:r>
        <w:rPr>
          <w:rFonts w:hint="eastAsia" w:ascii="仿宋" w:hAnsi="仿宋" w:eastAsia="仿宋" w:cs="仿宋"/>
          <w:color w:val="auto"/>
          <w:sz w:val="32"/>
          <w:szCs w:val="32"/>
        </w:rPr>
        <w:t>。</w:t>
      </w:r>
    </w:p>
    <w:p>
      <w:pPr>
        <w:pStyle w:val="10"/>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outlineLvl w:val="1"/>
        <w:rPr>
          <w:rFonts w:ascii="仿宋" w:hAnsi="仿宋" w:eastAsia="仿宋" w:cs="仿宋"/>
          <w:color w:val="auto"/>
          <w:sz w:val="32"/>
          <w:szCs w:val="32"/>
        </w:rPr>
      </w:pPr>
      <w:r>
        <w:rPr>
          <w:rFonts w:hint="eastAsia" w:ascii="黑体" w:hAnsi="黑体" w:eastAsia="黑体" w:cs="黑体"/>
          <w:color w:val="auto"/>
          <w:sz w:val="32"/>
          <w:szCs w:val="32"/>
        </w:rPr>
        <w:t>二、绩效目标完成情况分析</w:t>
      </w:r>
    </w:p>
    <w:p>
      <w:pPr>
        <w:pStyle w:val="10"/>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ascii="仿宋" w:hAnsi="仿宋" w:eastAsia="仿宋" w:cs="仿宋"/>
          <w:color w:val="auto"/>
          <w:sz w:val="32"/>
          <w:szCs w:val="32"/>
          <w:lang w:val="en-US" w:eastAsia="zh-CN"/>
        </w:rPr>
      </w:pPr>
      <w:r>
        <w:rPr>
          <w:rFonts w:hint="eastAsia" w:ascii="楷体" w:hAnsi="楷体" w:eastAsia="楷体" w:cs="楷体"/>
          <w:color w:val="auto"/>
          <w:sz w:val="32"/>
          <w:szCs w:val="32"/>
        </w:rPr>
        <w:t>（一）项目</w:t>
      </w:r>
      <w:r>
        <w:rPr>
          <w:rFonts w:hint="eastAsia" w:ascii="楷体" w:hAnsi="楷体" w:eastAsia="楷体" w:cs="楷体"/>
          <w:color w:val="auto"/>
          <w:sz w:val="32"/>
          <w:szCs w:val="32"/>
          <w:lang w:val="en-US" w:eastAsia="zh-CN"/>
        </w:rPr>
        <w:t>决策</w:t>
      </w:r>
      <w:r>
        <w:rPr>
          <w:rFonts w:hint="eastAsia" w:ascii="楷体" w:hAnsi="楷体" w:eastAsia="楷体" w:cs="楷体"/>
          <w:color w:val="auto"/>
          <w:sz w:val="32"/>
          <w:szCs w:val="32"/>
        </w:rPr>
        <w:t>。</w:t>
      </w:r>
      <w:r>
        <w:rPr>
          <w:rFonts w:hint="eastAsia" w:ascii="仿宋" w:hAnsi="仿宋" w:eastAsia="仿宋" w:cs="仿宋"/>
          <w:color w:val="auto"/>
          <w:sz w:val="32"/>
          <w:szCs w:val="32"/>
        </w:rPr>
        <w:t>权重</w:t>
      </w:r>
      <w:r>
        <w:rPr>
          <w:rFonts w:hint="eastAsia" w:ascii="仿宋" w:hAnsi="仿宋" w:eastAsia="仿宋" w:cs="仿宋"/>
          <w:color w:val="auto"/>
          <w:sz w:val="32"/>
          <w:szCs w:val="32"/>
          <w:lang w:val="en-US" w:eastAsia="zh-CN"/>
        </w:rPr>
        <w:t>21</w:t>
      </w:r>
      <w:r>
        <w:rPr>
          <w:rFonts w:hint="eastAsia" w:ascii="仿宋" w:hAnsi="仿宋" w:eastAsia="仿宋" w:cs="仿宋"/>
          <w:color w:val="auto"/>
          <w:sz w:val="32"/>
          <w:szCs w:val="32"/>
        </w:rPr>
        <w:t>分，得分</w:t>
      </w:r>
      <w:r>
        <w:rPr>
          <w:rFonts w:hint="eastAsia" w:ascii="仿宋" w:hAnsi="仿宋" w:eastAsia="仿宋" w:cs="仿宋"/>
          <w:color w:val="auto"/>
          <w:sz w:val="32"/>
          <w:szCs w:val="32"/>
          <w:lang w:val="en-US" w:eastAsia="zh-CN"/>
        </w:rPr>
        <w:t>18</w:t>
      </w:r>
      <w:r>
        <w:rPr>
          <w:rFonts w:hint="eastAsia" w:ascii="仿宋" w:hAnsi="仿宋" w:eastAsia="仿宋" w:cs="仿宋"/>
          <w:color w:val="auto"/>
          <w:sz w:val="32"/>
          <w:szCs w:val="32"/>
        </w:rPr>
        <w:t>分</w:t>
      </w:r>
      <w:r>
        <w:rPr>
          <w:rFonts w:hint="eastAsia" w:ascii="仿宋" w:hAnsi="仿宋" w:eastAsia="仿宋" w:cs="仿宋"/>
          <w:color w:val="auto"/>
          <w:sz w:val="32"/>
          <w:szCs w:val="32"/>
          <w:lang w:val="en-US" w:eastAsia="zh-CN"/>
        </w:rPr>
        <w:t>，扣分3分</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主要扣分点在于评估论证及项目绩效目标指标，主要扣分原因为项目未组织专家、专业机构开展评估论证。未制定项目质量指标</w:t>
      </w:r>
      <w:r>
        <w:rPr>
          <w:rFonts w:hint="eastAsia" w:ascii="仿宋" w:hAnsi="仿宋" w:eastAsia="仿宋" w:cs="仿宋"/>
          <w:color w:val="auto"/>
          <w:sz w:val="32"/>
          <w:szCs w:val="32"/>
          <w:lang w:eastAsia="zh-CN"/>
        </w:rPr>
        <w:t>。</w:t>
      </w:r>
    </w:p>
    <w:p>
      <w:pPr>
        <w:pStyle w:val="10"/>
        <w:keepNext w:val="0"/>
        <w:keepLines w:val="0"/>
        <w:pageBreakBefore w:val="0"/>
        <w:numPr>
          <w:ilvl w:val="0"/>
          <w:numId w:val="1"/>
        </w:numPr>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ascii="楷体" w:hAnsi="楷体" w:eastAsia="楷体" w:cs="楷体"/>
          <w:color w:val="auto"/>
          <w:sz w:val="32"/>
          <w:szCs w:val="32"/>
          <w:lang w:eastAsia="zh-CN"/>
        </w:rPr>
      </w:pPr>
      <w:r>
        <w:rPr>
          <w:rFonts w:hint="eastAsia" w:ascii="楷体" w:hAnsi="楷体" w:eastAsia="楷体" w:cs="楷体"/>
          <w:color w:val="auto"/>
          <w:sz w:val="32"/>
          <w:szCs w:val="32"/>
          <w:lang w:val="en-US" w:eastAsia="zh-CN"/>
        </w:rPr>
        <w:t>项目过程</w:t>
      </w:r>
      <w:r>
        <w:rPr>
          <w:rFonts w:hint="eastAsia" w:ascii="楷体" w:hAnsi="楷体" w:eastAsia="楷体" w:cs="楷体"/>
          <w:color w:val="auto"/>
          <w:sz w:val="32"/>
          <w:szCs w:val="32"/>
          <w:lang w:eastAsia="zh-CN"/>
        </w:rPr>
        <w:t>。</w:t>
      </w:r>
      <w:r>
        <w:rPr>
          <w:rFonts w:hint="eastAsia" w:ascii="仿宋" w:hAnsi="仿宋" w:eastAsia="仿宋" w:cs="仿宋"/>
          <w:color w:val="auto"/>
          <w:sz w:val="32"/>
          <w:szCs w:val="32"/>
          <w:lang w:val="en-US" w:eastAsia="zh-CN"/>
        </w:rPr>
        <w:t>权重19分，得分16分，扣分3分。主要扣分点在于项目实施指标，主要扣分原因为项目建设合同中约定的质保金1.5%低于财政专项资金文件规定的5%。项目公示内容不完整，无资金来源、监督举报电话等信息。项目档案未及时整理归档。</w:t>
      </w:r>
    </w:p>
    <w:p>
      <w:pPr>
        <w:pStyle w:val="10"/>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00" w:lineRule="exact"/>
        <w:ind w:firstLine="632" w:firstLineChars="200"/>
        <w:textAlignment w:val="auto"/>
        <w:rPr>
          <w:rFonts w:ascii="仿宋" w:hAnsi="仿宋" w:eastAsia="仿宋" w:cs="仿宋"/>
          <w:color w:val="auto"/>
          <w:sz w:val="32"/>
          <w:szCs w:val="32"/>
        </w:rPr>
      </w:pP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lang w:val="en-US" w:eastAsia="zh-CN"/>
        </w:rPr>
        <w:t>三</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lang w:val="en-US" w:eastAsia="zh-CN"/>
        </w:rPr>
        <w:t>项目产出</w:t>
      </w:r>
      <w:r>
        <w:rPr>
          <w:rFonts w:hint="eastAsia" w:ascii="楷体" w:hAnsi="楷体" w:eastAsia="楷体" w:cs="楷体"/>
          <w:color w:val="auto"/>
          <w:sz w:val="32"/>
          <w:szCs w:val="32"/>
        </w:rPr>
        <w:t>。</w:t>
      </w:r>
      <w:r>
        <w:rPr>
          <w:rFonts w:hint="eastAsia" w:ascii="仿宋" w:hAnsi="仿宋" w:eastAsia="仿宋" w:cs="仿宋"/>
          <w:color w:val="auto"/>
          <w:sz w:val="32"/>
          <w:szCs w:val="32"/>
        </w:rPr>
        <w:t>权重</w:t>
      </w:r>
      <w:r>
        <w:rPr>
          <w:rFonts w:hint="eastAsia" w:ascii="仿宋" w:hAnsi="仿宋" w:eastAsia="仿宋" w:cs="仿宋"/>
          <w:color w:val="auto"/>
          <w:sz w:val="32"/>
          <w:szCs w:val="32"/>
          <w:lang w:val="en-US" w:eastAsia="zh-CN"/>
        </w:rPr>
        <w:t>40</w:t>
      </w:r>
      <w:r>
        <w:rPr>
          <w:rFonts w:hint="eastAsia" w:ascii="仿宋" w:hAnsi="仿宋" w:eastAsia="仿宋" w:cs="仿宋"/>
          <w:color w:val="auto"/>
          <w:sz w:val="32"/>
          <w:szCs w:val="32"/>
        </w:rPr>
        <w:t>分，得分</w:t>
      </w:r>
      <w:r>
        <w:rPr>
          <w:rFonts w:hint="eastAsia" w:ascii="仿宋" w:hAnsi="仿宋" w:eastAsia="仿宋" w:cs="仿宋"/>
          <w:color w:val="auto"/>
          <w:sz w:val="32"/>
          <w:szCs w:val="32"/>
          <w:lang w:val="en-US" w:eastAsia="zh-CN"/>
        </w:rPr>
        <w:t>40</w:t>
      </w:r>
      <w:r>
        <w:rPr>
          <w:rFonts w:hint="eastAsia" w:ascii="仿宋" w:hAnsi="仿宋" w:eastAsia="仿宋" w:cs="仿宋"/>
          <w:color w:val="auto"/>
          <w:sz w:val="32"/>
          <w:szCs w:val="32"/>
        </w:rPr>
        <w:t>分。</w:t>
      </w:r>
      <w:r>
        <w:rPr>
          <w:rFonts w:hint="eastAsia" w:ascii="仿宋" w:hAnsi="仿宋" w:eastAsia="仿宋" w:cs="仿宋"/>
          <w:color w:val="auto"/>
          <w:sz w:val="32"/>
          <w:szCs w:val="32"/>
          <w:lang w:val="en-US" w:eastAsia="zh-CN"/>
        </w:rPr>
        <w:t>项目数量、质量、时效及成本指标均达到预期目标值，</w:t>
      </w:r>
      <w:r>
        <w:rPr>
          <w:rFonts w:hint="eastAsia" w:ascii="仿宋" w:hAnsi="仿宋" w:eastAsia="仿宋" w:cs="仿宋"/>
          <w:color w:val="auto"/>
          <w:sz w:val="32"/>
          <w:szCs w:val="32"/>
        </w:rPr>
        <w:t>无扣分事项</w:t>
      </w:r>
      <w:r>
        <w:rPr>
          <w:rFonts w:hint="eastAsia" w:ascii="仿宋" w:hAnsi="仿宋" w:eastAsia="仿宋" w:cs="仿宋"/>
          <w:color w:val="auto"/>
          <w:sz w:val="32"/>
          <w:szCs w:val="32"/>
          <w:lang w:eastAsia="zh-CN"/>
        </w:rPr>
        <w:t>。</w:t>
      </w:r>
    </w:p>
    <w:p>
      <w:pPr>
        <w:pStyle w:val="10"/>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ascii="仿宋" w:hAnsi="仿宋" w:eastAsia="仿宋" w:cs="仿宋"/>
          <w:color w:val="auto"/>
          <w:sz w:val="32"/>
          <w:szCs w:val="32"/>
          <w:lang w:val="en-US" w:eastAsia="zh-CN"/>
        </w:rPr>
      </w:pPr>
      <w:r>
        <w:rPr>
          <w:rFonts w:hint="eastAsia" w:ascii="楷体" w:hAnsi="楷体" w:eastAsia="楷体" w:cs="楷体"/>
          <w:color w:val="auto"/>
          <w:sz w:val="32"/>
          <w:szCs w:val="32"/>
          <w:lang w:val="en-US" w:eastAsia="zh-CN"/>
        </w:rPr>
        <w:t>（四）实施效益及满意度</w:t>
      </w:r>
      <w:r>
        <w:rPr>
          <w:rFonts w:hint="eastAsia" w:ascii="楷体" w:hAnsi="楷体" w:eastAsia="楷体" w:cs="楷体"/>
          <w:color w:val="auto"/>
          <w:sz w:val="32"/>
          <w:szCs w:val="32"/>
        </w:rPr>
        <w:t>。</w:t>
      </w:r>
      <w:r>
        <w:rPr>
          <w:rFonts w:hint="eastAsia" w:ascii="仿宋" w:hAnsi="仿宋" w:eastAsia="仿宋" w:cs="仿宋"/>
          <w:color w:val="auto"/>
          <w:kern w:val="2"/>
          <w:sz w:val="32"/>
          <w:szCs w:val="32"/>
        </w:rPr>
        <w:t>权重</w:t>
      </w:r>
      <w:r>
        <w:rPr>
          <w:rFonts w:hint="eastAsia" w:ascii="仿宋" w:hAnsi="仿宋" w:eastAsia="仿宋" w:cs="仿宋"/>
          <w:color w:val="auto"/>
          <w:kern w:val="2"/>
          <w:sz w:val="32"/>
          <w:szCs w:val="32"/>
          <w:lang w:val="en-US" w:eastAsia="zh-CN"/>
        </w:rPr>
        <w:t>2</w:t>
      </w:r>
      <w:r>
        <w:rPr>
          <w:rFonts w:hint="eastAsia" w:ascii="仿宋" w:hAnsi="仿宋" w:eastAsia="仿宋" w:cs="仿宋"/>
          <w:color w:val="auto"/>
          <w:kern w:val="2"/>
          <w:sz w:val="32"/>
          <w:szCs w:val="32"/>
        </w:rPr>
        <w:t>0分，得分</w:t>
      </w:r>
      <w:r>
        <w:rPr>
          <w:rFonts w:hint="eastAsia" w:ascii="仿宋" w:hAnsi="仿宋" w:eastAsia="仿宋" w:cs="仿宋"/>
          <w:color w:val="auto"/>
          <w:kern w:val="2"/>
          <w:sz w:val="32"/>
          <w:szCs w:val="32"/>
          <w:lang w:val="en-US" w:eastAsia="zh-CN"/>
        </w:rPr>
        <w:t>20</w:t>
      </w:r>
      <w:r>
        <w:rPr>
          <w:rFonts w:hint="eastAsia" w:ascii="仿宋" w:hAnsi="仿宋" w:eastAsia="仿宋" w:cs="仿宋"/>
          <w:color w:val="auto"/>
          <w:kern w:val="2"/>
          <w:sz w:val="32"/>
          <w:szCs w:val="32"/>
        </w:rPr>
        <w:t>分</w:t>
      </w:r>
      <w:r>
        <w:rPr>
          <w:rFonts w:hint="eastAsia" w:ascii="仿宋" w:hAnsi="仿宋" w:eastAsia="仿宋" w:cs="仿宋"/>
          <w:color w:val="auto"/>
          <w:kern w:val="2"/>
          <w:sz w:val="32"/>
          <w:szCs w:val="32"/>
          <w:lang w:eastAsia="zh-CN"/>
        </w:rPr>
        <w:t>。</w:t>
      </w:r>
      <w:r>
        <w:rPr>
          <w:rFonts w:hint="eastAsia" w:ascii="仿宋" w:hAnsi="仿宋" w:eastAsia="仿宋" w:cs="仿宋"/>
          <w:color w:val="auto"/>
          <w:sz w:val="32"/>
          <w:szCs w:val="32"/>
        </w:rPr>
        <w:t>项目</w:t>
      </w:r>
      <w:r>
        <w:rPr>
          <w:rFonts w:hint="eastAsia" w:ascii="仿宋" w:hAnsi="仿宋" w:eastAsia="仿宋" w:cs="仿宋"/>
          <w:color w:val="auto"/>
          <w:sz w:val="32"/>
          <w:szCs w:val="32"/>
          <w:lang w:val="en-US" w:eastAsia="zh-CN"/>
        </w:rPr>
        <w:t>实施后，</w:t>
      </w:r>
      <w:r>
        <w:rPr>
          <w:rFonts w:hint="eastAsia" w:ascii="仿宋" w:hAnsi="仿宋" w:eastAsia="仿宋" w:cs="仿宋"/>
          <w:color w:val="auto"/>
          <w:sz w:val="32"/>
          <w:szCs w:val="32"/>
        </w:rPr>
        <w:t>助力白鹤洞村千亩烟叶发展，带动集体及农户共同收益，减少烤烟成本、增加经济收入，为白鹤洞村乡村振兴、全面建成小康社会奠定基础</w:t>
      </w:r>
      <w:r>
        <w:rPr>
          <w:rFonts w:hint="eastAsia" w:ascii="仿宋" w:hAnsi="仿宋" w:eastAsia="仿宋" w:cs="仿宋"/>
          <w:color w:val="auto"/>
          <w:sz w:val="32"/>
          <w:szCs w:val="32"/>
          <w:lang w:eastAsia="zh-CN"/>
        </w:rPr>
        <w:t>，</w:t>
      </w:r>
      <w:r>
        <w:rPr>
          <w:rFonts w:hint="eastAsia" w:ascii="仿宋" w:hAnsi="仿宋" w:eastAsia="仿宋" w:cs="仿宋"/>
          <w:color w:val="auto"/>
          <w:kern w:val="2"/>
          <w:sz w:val="32"/>
          <w:szCs w:val="32"/>
          <w:lang w:val="en-US" w:eastAsia="zh-CN"/>
        </w:rPr>
        <w:t>项目实施效益及满意度均达到预期目标值</w:t>
      </w:r>
      <w:r>
        <w:rPr>
          <w:rFonts w:hint="eastAsia" w:ascii="仿宋" w:hAnsi="仿宋" w:eastAsia="仿宋" w:cs="仿宋"/>
          <w:color w:val="auto"/>
          <w:sz w:val="32"/>
          <w:szCs w:val="32"/>
          <w:lang w:eastAsia="zh-CN"/>
        </w:rPr>
        <w:t>。</w:t>
      </w:r>
    </w:p>
    <w:p>
      <w:pPr>
        <w:pStyle w:val="10"/>
        <w:keepNext w:val="0"/>
        <w:keepLines w:val="0"/>
        <w:pageBreakBefore w:val="0"/>
        <w:numPr>
          <w:ilvl w:val="0"/>
          <w:numId w:val="0"/>
        </w:numPr>
        <w:suppressLineNumbers/>
        <w:kinsoku/>
        <w:wordWrap/>
        <w:overflowPunct/>
        <w:topLinePunct w:val="0"/>
        <w:autoSpaceDE/>
        <w:autoSpaceDN/>
        <w:bidi w:val="0"/>
        <w:adjustRightInd/>
        <w:snapToGrid/>
        <w:spacing w:before="0" w:beforeAutospacing="0" w:after="0" w:afterAutospacing="0" w:line="500" w:lineRule="exact"/>
        <w:ind w:firstLine="632" w:firstLineChars="200"/>
        <w:textAlignment w:val="auto"/>
        <w:outlineLvl w:val="1"/>
        <w:rPr>
          <w:rFonts w:ascii="黑体" w:hAnsi="黑体" w:eastAsia="黑体" w:cs="黑体"/>
          <w:color w:val="auto"/>
          <w:sz w:val="32"/>
          <w:szCs w:val="32"/>
        </w:rPr>
      </w:pPr>
      <w:r>
        <w:rPr>
          <w:rFonts w:hint="eastAsia" w:ascii="黑体" w:hAnsi="黑体" w:eastAsia="黑体" w:cs="黑体"/>
          <w:color w:val="auto"/>
          <w:sz w:val="32"/>
          <w:szCs w:val="32"/>
          <w:lang w:eastAsia="zh-CN"/>
        </w:rPr>
        <w:t>三、</w:t>
      </w:r>
      <w:r>
        <w:rPr>
          <w:rFonts w:hint="eastAsia" w:ascii="黑体" w:hAnsi="黑体" w:eastAsia="黑体" w:cs="黑体"/>
          <w:color w:val="auto"/>
          <w:sz w:val="32"/>
          <w:szCs w:val="32"/>
        </w:rPr>
        <w:t>存在的问题和原因</w:t>
      </w:r>
    </w:p>
    <w:p>
      <w:pPr>
        <w:keepNext w:val="0"/>
        <w:keepLines w:val="0"/>
        <w:pageBreakBefore w:val="0"/>
        <w:kinsoku/>
        <w:wordWrap/>
        <w:overflowPunct/>
        <w:topLinePunct w:val="0"/>
        <w:autoSpaceDE/>
        <w:autoSpaceDN/>
        <w:bidi w:val="0"/>
        <w:adjustRightInd/>
        <w:snapToGrid/>
        <w:spacing w:line="500" w:lineRule="exact"/>
        <w:ind w:firstLine="414" w:firstLineChars="131"/>
        <w:textAlignment w:val="auto"/>
        <w:outlineLvl w:val="2"/>
        <w:rPr>
          <w:rFonts w:ascii="仿宋" w:hAnsi="仿宋" w:eastAsia="仿宋" w:cs="仿宋"/>
          <w:color w:val="auto"/>
          <w:sz w:val="32"/>
          <w:szCs w:val="32"/>
          <w:highlight w:val="cyan"/>
        </w:rPr>
      </w:pPr>
      <w:r>
        <w:rPr>
          <w:rFonts w:hint="eastAsia" w:ascii="楷体" w:hAnsi="楷体" w:eastAsia="楷体" w:cs="楷体"/>
          <w:color w:val="auto"/>
          <w:sz w:val="32"/>
          <w:szCs w:val="32"/>
        </w:rPr>
        <w:t>（一）项目</w:t>
      </w:r>
      <w:r>
        <w:rPr>
          <w:rFonts w:hint="eastAsia" w:ascii="楷体" w:hAnsi="楷体" w:eastAsia="楷体" w:cs="楷体"/>
          <w:color w:val="auto"/>
          <w:sz w:val="32"/>
          <w:szCs w:val="32"/>
          <w:lang w:val="en-US" w:eastAsia="zh-CN"/>
        </w:rPr>
        <w:t>立项未进行评估论证</w:t>
      </w:r>
    </w:p>
    <w:p>
      <w:pPr>
        <w:keepNext w:val="0"/>
        <w:keepLines w:val="0"/>
        <w:pageBreakBefore w:val="0"/>
        <w:kinsoku/>
        <w:wordWrap/>
        <w:overflowPunct/>
        <w:topLinePunct w:val="0"/>
        <w:autoSpaceDE/>
        <w:autoSpaceDN/>
        <w:bidi w:val="0"/>
        <w:adjustRightInd/>
        <w:snapToGrid/>
        <w:spacing w:line="500" w:lineRule="exact"/>
        <w:ind w:firstLine="559" w:firstLineChars="177"/>
        <w:textAlignment w:val="auto"/>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项目在前期立项过程中，未组织专家、专业机构开展评估论证，仅经过部门以上级别的集体决策，不利于考察项目立项是否科学、规范、有效。</w:t>
      </w:r>
    </w:p>
    <w:p>
      <w:pPr>
        <w:keepNext w:val="0"/>
        <w:keepLines w:val="0"/>
        <w:pageBreakBefore w:val="0"/>
        <w:kinsoku/>
        <w:wordWrap/>
        <w:overflowPunct/>
        <w:topLinePunct w:val="0"/>
        <w:autoSpaceDE/>
        <w:autoSpaceDN/>
        <w:bidi w:val="0"/>
        <w:adjustRightInd/>
        <w:snapToGrid/>
        <w:spacing w:line="500" w:lineRule="exact"/>
        <w:ind w:firstLine="414" w:firstLineChars="131"/>
        <w:textAlignment w:val="auto"/>
        <w:outlineLvl w:val="2"/>
        <w:rPr>
          <w:rFonts w:hint="eastAsia" w:ascii="楷体" w:hAnsi="楷体" w:eastAsia="楷体" w:cs="楷体"/>
          <w:color w:val="auto"/>
          <w:sz w:val="32"/>
          <w:szCs w:val="32"/>
        </w:rPr>
      </w:pPr>
      <w:r>
        <w:rPr>
          <w:rFonts w:hint="eastAsia" w:ascii="楷体" w:hAnsi="楷体" w:eastAsia="楷体" w:cs="楷体"/>
          <w:color w:val="auto"/>
          <w:sz w:val="32"/>
          <w:szCs w:val="32"/>
        </w:rPr>
        <w:t>（二）绩效目标</w:t>
      </w:r>
      <w:r>
        <w:rPr>
          <w:rFonts w:hint="eastAsia" w:ascii="楷体" w:hAnsi="楷体" w:eastAsia="楷体" w:cs="楷体"/>
          <w:color w:val="auto"/>
          <w:sz w:val="32"/>
          <w:szCs w:val="32"/>
          <w:lang w:val="en-US" w:eastAsia="zh-CN"/>
        </w:rPr>
        <w:t>设置不全面</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ascii="仿宋" w:hAnsi="仿宋" w:eastAsia="仿宋" w:cs="仿宋"/>
          <w:color w:val="auto"/>
          <w:kern w:val="0"/>
          <w:sz w:val="32"/>
          <w:szCs w:val="32"/>
        </w:rPr>
      </w:pPr>
      <w:r>
        <w:rPr>
          <w:rFonts w:ascii="仿宋" w:hAnsi="仿宋" w:eastAsia="仿宋" w:cs="仿宋"/>
          <w:color w:val="auto"/>
          <w:kern w:val="0"/>
          <w:sz w:val="32"/>
          <w:szCs w:val="32"/>
        </w:rPr>
        <w:t>项目单位</w:t>
      </w:r>
      <w:r>
        <w:rPr>
          <w:rFonts w:hint="eastAsia" w:ascii="仿宋" w:hAnsi="仿宋" w:eastAsia="仿宋" w:cs="仿宋"/>
          <w:color w:val="auto"/>
          <w:kern w:val="0"/>
          <w:sz w:val="32"/>
          <w:szCs w:val="32"/>
          <w:lang w:val="en-US" w:eastAsia="zh-CN"/>
        </w:rPr>
        <w:t>制定了</w:t>
      </w:r>
      <w:r>
        <w:rPr>
          <w:rFonts w:ascii="仿宋" w:hAnsi="仿宋" w:eastAsia="仿宋" w:cs="仿宋"/>
          <w:color w:val="auto"/>
          <w:kern w:val="0"/>
          <w:sz w:val="32"/>
          <w:szCs w:val="32"/>
        </w:rPr>
        <w:t>项目绩效目标，但</w:t>
      </w:r>
      <w:r>
        <w:rPr>
          <w:rFonts w:hint="eastAsia" w:ascii="仿宋" w:hAnsi="仿宋" w:eastAsia="仿宋" w:cs="仿宋"/>
          <w:color w:val="auto"/>
          <w:kern w:val="0"/>
          <w:sz w:val="32"/>
          <w:szCs w:val="32"/>
        </w:rPr>
        <w:t>质量指标未通过清晰、可衡量的指标值予以体现，不利于反映</w:t>
      </w:r>
      <w:r>
        <w:rPr>
          <w:rFonts w:ascii="仿宋" w:hAnsi="仿宋" w:eastAsia="仿宋" w:cs="仿宋"/>
          <w:color w:val="auto"/>
          <w:kern w:val="0"/>
          <w:sz w:val="32"/>
          <w:szCs w:val="32"/>
        </w:rPr>
        <w:t>项目</w:t>
      </w:r>
      <w:r>
        <w:rPr>
          <w:rFonts w:hint="eastAsia" w:ascii="仿宋" w:hAnsi="仿宋" w:eastAsia="仿宋" w:cs="仿宋"/>
          <w:color w:val="auto"/>
          <w:kern w:val="0"/>
          <w:sz w:val="32"/>
          <w:szCs w:val="32"/>
          <w:lang w:val="en-US" w:eastAsia="zh-CN"/>
        </w:rPr>
        <w:t>质量</w:t>
      </w:r>
      <w:r>
        <w:rPr>
          <w:rFonts w:ascii="仿宋" w:hAnsi="仿宋" w:eastAsia="仿宋" w:cs="仿宋"/>
          <w:color w:val="auto"/>
          <w:kern w:val="0"/>
          <w:sz w:val="32"/>
          <w:szCs w:val="32"/>
        </w:rPr>
        <w:t>的</w:t>
      </w:r>
      <w:r>
        <w:rPr>
          <w:rFonts w:hint="eastAsia" w:ascii="仿宋" w:hAnsi="仿宋" w:eastAsia="仿宋" w:cs="仿宋"/>
          <w:color w:val="auto"/>
          <w:kern w:val="0"/>
          <w:sz w:val="32"/>
          <w:szCs w:val="32"/>
        </w:rPr>
        <w:t>实现</w:t>
      </w:r>
      <w:r>
        <w:rPr>
          <w:rFonts w:ascii="仿宋" w:hAnsi="仿宋" w:eastAsia="仿宋" w:cs="仿宋"/>
          <w:color w:val="auto"/>
          <w:kern w:val="0"/>
          <w:sz w:val="32"/>
          <w:szCs w:val="32"/>
        </w:rPr>
        <w:t>情况。</w:t>
      </w:r>
    </w:p>
    <w:p>
      <w:pPr>
        <w:keepNext w:val="0"/>
        <w:keepLines w:val="0"/>
        <w:pageBreakBefore w:val="0"/>
        <w:kinsoku/>
        <w:wordWrap/>
        <w:overflowPunct/>
        <w:topLinePunct w:val="0"/>
        <w:autoSpaceDE/>
        <w:autoSpaceDN/>
        <w:bidi w:val="0"/>
        <w:adjustRightInd/>
        <w:snapToGrid/>
        <w:spacing w:line="500" w:lineRule="exact"/>
        <w:ind w:firstLine="414" w:firstLineChars="131"/>
        <w:textAlignment w:val="auto"/>
        <w:outlineLvl w:val="2"/>
        <w:rPr>
          <w:rFonts w:hint="eastAsia" w:ascii="楷体" w:hAnsi="楷体" w:eastAsia="楷体" w:cs="楷体"/>
          <w:color w:val="auto"/>
          <w:sz w:val="32"/>
          <w:szCs w:val="32"/>
        </w:rPr>
      </w:pPr>
      <w:r>
        <w:rPr>
          <w:rFonts w:hint="eastAsia" w:ascii="楷体" w:hAnsi="楷体" w:eastAsia="楷体" w:cs="楷体"/>
          <w:color w:val="auto"/>
          <w:sz w:val="32"/>
          <w:szCs w:val="32"/>
        </w:rPr>
        <w:t>（三）</w:t>
      </w:r>
      <w:r>
        <w:rPr>
          <w:rFonts w:hint="eastAsia" w:ascii="楷体" w:hAnsi="楷体" w:eastAsia="楷体" w:cs="楷体"/>
          <w:color w:val="auto"/>
          <w:sz w:val="32"/>
          <w:szCs w:val="32"/>
          <w:lang w:val="en-US" w:eastAsia="zh-CN"/>
        </w:rPr>
        <w:t>项目实施规范性有待提高</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rPr>
        <w:t>项目</w:t>
      </w:r>
      <w:r>
        <w:rPr>
          <w:rFonts w:hint="eastAsia" w:ascii="仿宋" w:hAnsi="仿宋" w:eastAsia="仿宋" w:cs="仿宋"/>
          <w:color w:val="auto"/>
          <w:kern w:val="0"/>
          <w:sz w:val="32"/>
          <w:szCs w:val="32"/>
          <w:lang w:val="en-US" w:eastAsia="zh-CN"/>
        </w:rPr>
        <w:t>通过竞争性磋商方式确定施工单位，但在签订施工合同中，对于项目质保金的约定1.5%低于财政专项资金文件规定的5%比例。</w:t>
      </w:r>
      <w:r>
        <w:rPr>
          <w:rFonts w:hint="eastAsia" w:ascii="仿宋" w:hAnsi="仿宋" w:eastAsia="仿宋" w:cs="仿宋"/>
          <w:color w:val="auto"/>
          <w:sz w:val="32"/>
          <w:szCs w:val="32"/>
          <w:lang w:val="en-US" w:eastAsia="zh-CN"/>
        </w:rPr>
        <w:t>项目公示内容不完整，无资金来源、监督举报电话等信息。</w:t>
      </w:r>
      <w:r>
        <w:rPr>
          <w:rFonts w:hint="eastAsia" w:ascii="仿宋" w:hAnsi="仿宋" w:eastAsia="仿宋" w:cs="仿宋"/>
          <w:color w:val="auto"/>
          <w:kern w:val="0"/>
          <w:sz w:val="32"/>
          <w:szCs w:val="32"/>
          <w:lang w:val="en-US" w:eastAsia="zh-CN"/>
        </w:rPr>
        <w:t>项目档案未及时整理归档。</w:t>
      </w:r>
    </w:p>
    <w:p>
      <w:pPr>
        <w:keepNext w:val="0"/>
        <w:keepLines w:val="0"/>
        <w:pageBreakBefore w:val="0"/>
        <w:widowControl/>
        <w:suppressLineNumbers/>
        <w:kinsoku/>
        <w:wordWrap/>
        <w:overflowPunct/>
        <w:topLinePunct w:val="0"/>
        <w:autoSpaceDE/>
        <w:autoSpaceDN/>
        <w:bidi w:val="0"/>
        <w:adjustRightInd/>
        <w:snapToGrid/>
        <w:spacing w:line="500" w:lineRule="exact"/>
        <w:ind w:firstLine="632" w:firstLineChars="200"/>
        <w:jc w:val="left"/>
        <w:textAlignment w:val="auto"/>
        <w:outlineLvl w:val="1"/>
        <w:rPr>
          <w:rFonts w:ascii="黑体" w:hAnsi="黑体" w:eastAsia="黑体" w:cs="黑体"/>
          <w:bCs/>
          <w:color w:val="auto"/>
          <w:sz w:val="32"/>
          <w:szCs w:val="32"/>
        </w:rPr>
      </w:pPr>
      <w:r>
        <w:rPr>
          <w:rFonts w:hint="eastAsia" w:ascii="黑体" w:hAnsi="黑体" w:eastAsia="黑体" w:cs="黑体"/>
          <w:bCs/>
          <w:color w:val="auto"/>
          <w:sz w:val="32"/>
          <w:szCs w:val="32"/>
        </w:rPr>
        <w:t>四、结果应用建议</w:t>
      </w:r>
    </w:p>
    <w:p>
      <w:pPr>
        <w:keepNext w:val="0"/>
        <w:keepLines w:val="0"/>
        <w:pageBreakBefore w:val="0"/>
        <w:kinsoku/>
        <w:wordWrap/>
        <w:overflowPunct/>
        <w:topLinePunct w:val="0"/>
        <w:autoSpaceDE/>
        <w:autoSpaceDN/>
        <w:bidi w:val="0"/>
        <w:adjustRightInd/>
        <w:snapToGrid/>
        <w:spacing w:line="500" w:lineRule="exact"/>
        <w:ind w:firstLine="420" w:firstLineChars="133"/>
        <w:textAlignment w:val="auto"/>
        <w:rPr>
          <w:rFonts w:hint="eastAsia" w:ascii="楷体_GB2312" w:hAnsi="楷体_GB2312" w:eastAsia="楷体_GB2312" w:cs="楷体_GB2312"/>
          <w:color w:val="auto"/>
          <w:kern w:val="0"/>
          <w:sz w:val="32"/>
          <w:szCs w:val="32"/>
        </w:rPr>
      </w:pPr>
      <w:r>
        <w:rPr>
          <w:rFonts w:hint="eastAsia" w:ascii="楷体_GB2312" w:hAnsi="楷体_GB2312" w:eastAsia="楷体_GB2312" w:cs="楷体_GB2312"/>
          <w:color w:val="auto"/>
          <w:kern w:val="0"/>
          <w:sz w:val="32"/>
          <w:szCs w:val="32"/>
        </w:rPr>
        <w:t>（一）</w:t>
      </w:r>
      <w:r>
        <w:rPr>
          <w:rFonts w:hint="eastAsia" w:ascii="楷体_GB2312" w:hAnsi="楷体_GB2312" w:eastAsia="楷体_GB2312" w:cs="楷体_GB2312"/>
          <w:color w:val="auto"/>
          <w:kern w:val="0"/>
          <w:sz w:val="32"/>
          <w:szCs w:val="32"/>
          <w:lang w:val="en-US" w:eastAsia="zh-CN"/>
        </w:rPr>
        <w:t>对项目进行</w:t>
      </w:r>
      <w:r>
        <w:rPr>
          <w:rFonts w:hint="eastAsia" w:ascii="楷体_GB2312" w:hAnsi="楷体_GB2312" w:eastAsia="楷体_GB2312" w:cs="楷体_GB2312"/>
          <w:color w:val="auto"/>
          <w:kern w:val="0"/>
          <w:sz w:val="32"/>
          <w:szCs w:val="32"/>
        </w:rPr>
        <w:t>评估论证</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项目单位</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根据部门内部集体会议决策情况，组织组织专家、第三方机构对项目进行评审、论证，进一步保证项目立项的科学性、规范性及有效性。</w:t>
      </w:r>
    </w:p>
    <w:p>
      <w:pPr>
        <w:keepNext w:val="0"/>
        <w:keepLines w:val="0"/>
        <w:pageBreakBefore w:val="0"/>
        <w:kinsoku/>
        <w:wordWrap/>
        <w:overflowPunct/>
        <w:topLinePunct w:val="0"/>
        <w:autoSpaceDE/>
        <w:autoSpaceDN/>
        <w:bidi w:val="0"/>
        <w:adjustRightInd/>
        <w:snapToGrid/>
        <w:spacing w:line="500" w:lineRule="exact"/>
        <w:ind w:firstLine="420" w:firstLineChars="133"/>
        <w:textAlignment w:val="auto"/>
        <w:rPr>
          <w:rFonts w:hint="eastAsia" w:ascii="楷体_GB2312" w:hAnsi="楷体_GB2312" w:eastAsia="楷体_GB2312" w:cs="楷体_GB2312"/>
          <w:color w:val="auto"/>
          <w:kern w:val="0"/>
          <w:sz w:val="32"/>
          <w:szCs w:val="32"/>
        </w:rPr>
      </w:pPr>
      <w:r>
        <w:rPr>
          <w:rFonts w:hint="eastAsia" w:ascii="楷体_GB2312" w:hAnsi="楷体_GB2312" w:eastAsia="楷体_GB2312" w:cs="楷体_GB2312"/>
          <w:color w:val="auto"/>
          <w:kern w:val="0"/>
          <w:sz w:val="32"/>
          <w:szCs w:val="32"/>
          <w:lang w:eastAsia="zh-CN"/>
        </w:rPr>
        <w:t>（</w:t>
      </w:r>
      <w:r>
        <w:rPr>
          <w:rFonts w:hint="eastAsia" w:ascii="楷体_GB2312" w:hAnsi="楷体_GB2312" w:eastAsia="楷体_GB2312" w:cs="楷体_GB2312"/>
          <w:color w:val="auto"/>
          <w:kern w:val="0"/>
          <w:sz w:val="32"/>
          <w:szCs w:val="32"/>
          <w:lang w:val="en-US" w:eastAsia="zh-CN"/>
        </w:rPr>
        <w:t>二</w:t>
      </w:r>
      <w:r>
        <w:rPr>
          <w:rFonts w:hint="eastAsia" w:ascii="楷体_GB2312" w:hAnsi="楷体_GB2312" w:eastAsia="楷体_GB2312" w:cs="楷体_GB2312"/>
          <w:color w:val="auto"/>
          <w:kern w:val="0"/>
          <w:sz w:val="32"/>
          <w:szCs w:val="32"/>
          <w:lang w:eastAsia="zh-CN"/>
        </w:rPr>
        <w:t>）</w:t>
      </w:r>
      <w:r>
        <w:rPr>
          <w:rFonts w:hint="eastAsia" w:ascii="楷体_GB2312" w:hAnsi="楷体_GB2312" w:eastAsia="楷体_GB2312" w:cs="楷体_GB2312"/>
          <w:color w:val="auto"/>
          <w:kern w:val="0"/>
          <w:sz w:val="32"/>
          <w:szCs w:val="32"/>
        </w:rPr>
        <w:t>细化绩效指标</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全面反映项目完成情况。项目单位应通过清晰、可衡量的指标值设定各项绩效目标，有助于全面了解项目的实施情况和项目实施后产生的效果，从而有效判断项目是否达到预期期望，有效提高资金使用效益和项目管理水平。</w:t>
      </w:r>
    </w:p>
    <w:p>
      <w:pPr>
        <w:keepNext w:val="0"/>
        <w:keepLines w:val="0"/>
        <w:pageBreakBefore w:val="0"/>
        <w:kinsoku/>
        <w:wordWrap/>
        <w:overflowPunct/>
        <w:topLinePunct w:val="0"/>
        <w:autoSpaceDE/>
        <w:autoSpaceDN/>
        <w:bidi w:val="0"/>
        <w:adjustRightInd/>
        <w:snapToGrid/>
        <w:spacing w:line="500" w:lineRule="exact"/>
        <w:ind w:firstLine="420" w:firstLineChars="133"/>
        <w:textAlignment w:val="auto"/>
        <w:rPr>
          <w:rFonts w:hint="eastAsia" w:ascii="楷体_GB2312" w:hAnsi="楷体_GB2312" w:eastAsia="楷体_GB2312" w:cs="楷体_GB2312"/>
          <w:color w:val="auto"/>
          <w:kern w:val="0"/>
          <w:sz w:val="32"/>
          <w:szCs w:val="32"/>
        </w:rPr>
      </w:pPr>
      <w:r>
        <w:rPr>
          <w:rFonts w:hint="eastAsia" w:ascii="楷体_GB2312" w:hAnsi="楷体_GB2312" w:eastAsia="楷体_GB2312" w:cs="楷体_GB2312"/>
          <w:color w:val="auto"/>
          <w:kern w:val="0"/>
          <w:sz w:val="32"/>
          <w:szCs w:val="32"/>
          <w:lang w:val="en-US" w:eastAsia="zh-CN"/>
        </w:rPr>
        <w:t>(三）</w:t>
      </w:r>
      <w:r>
        <w:rPr>
          <w:rFonts w:hint="eastAsia" w:ascii="楷体_GB2312" w:hAnsi="楷体_GB2312" w:eastAsia="楷体_GB2312" w:cs="楷体_GB2312"/>
          <w:color w:val="auto"/>
          <w:kern w:val="0"/>
          <w:sz w:val="32"/>
          <w:szCs w:val="32"/>
        </w:rPr>
        <w:t>加强项目</w:t>
      </w:r>
      <w:r>
        <w:rPr>
          <w:rFonts w:hint="eastAsia" w:ascii="楷体_GB2312" w:hAnsi="楷体_GB2312" w:eastAsia="楷体_GB2312" w:cs="楷体_GB2312"/>
          <w:color w:val="auto"/>
          <w:kern w:val="0"/>
          <w:sz w:val="32"/>
          <w:szCs w:val="32"/>
          <w:lang w:val="en-US" w:eastAsia="zh-CN"/>
        </w:rPr>
        <w:t>实施</w:t>
      </w:r>
      <w:r>
        <w:rPr>
          <w:rFonts w:hint="eastAsia" w:ascii="楷体_GB2312" w:hAnsi="楷体_GB2312" w:eastAsia="楷体_GB2312" w:cs="楷体_GB2312"/>
          <w:color w:val="auto"/>
          <w:kern w:val="0"/>
          <w:sz w:val="32"/>
          <w:szCs w:val="32"/>
        </w:rPr>
        <w:t>管理</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照财政专项资金要求，在建设合同签订时约定预留5%的项目质保金。准确、完整、全面、及时的公示项目资金情况，接受群众和社会监督。项目档案实行单独归档、专人管理，根据项目档案管理规定进行收集、整理、归档、保管，保持档案的真实性、完整性，为项目建设、验收、绩效评价等提供服务。附表：2022年度白鹤洞村烤烟配套设施项目绩效评价得分表</w:t>
      </w:r>
    </w:p>
    <w:tbl>
      <w:tblPr>
        <w:tblStyle w:val="11"/>
        <w:tblW w:w="10534" w:type="dxa"/>
        <w:tblInd w:w="-53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7"/>
        <w:gridCol w:w="404"/>
        <w:gridCol w:w="588"/>
        <w:gridCol w:w="2481"/>
        <w:gridCol w:w="4234"/>
        <w:gridCol w:w="554"/>
        <w:gridCol w:w="531"/>
        <w:gridCol w:w="14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7" w:hRule="atLeast"/>
        </w:trPr>
        <w:tc>
          <w:tcPr>
            <w:tcW w:w="2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一级指标</w:t>
            </w:r>
          </w:p>
        </w:tc>
        <w:tc>
          <w:tcPr>
            <w:tcW w:w="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二级指标</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三级指标</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指标解释</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评分标准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分值</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评价得分</w:t>
            </w:r>
          </w:p>
        </w:tc>
        <w:tc>
          <w:tcPr>
            <w:tcW w:w="1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trPr>
        <w:tc>
          <w:tcPr>
            <w:tcW w:w="2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决策</w:t>
            </w:r>
          </w:p>
        </w:tc>
        <w:tc>
          <w:tcPr>
            <w:tcW w:w="4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项目立项</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调查研究</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考察项目决策环节，为了解项目实施的必要性和可行性而开展的调查研究实施是否全面、详实。对政府专项项目，调研研究主要考察专项下各子项设立的决策分析是否扎实。</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①项目前期结合项目实施内容和范围开展了必要的调查研究，得2分；②取得的调查数据详实、真实，具有代表性，与项目内容高度相关，得2分。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4" w:hRule="atLeast"/>
        </w:trPr>
        <w:tc>
          <w:tcPr>
            <w:tcW w:w="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规划设计</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考察项目实施单位对拟实施项目的规划设计方案是否科学、高效。</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规划设计充分体现项目实施的必要性和迫切性，得1分；②项目规划设计充分考虑现实的可行性，包括政策的、技术的、市场的可行性等，得1分；③项目规划设计体现成本效益最大化，方案能够考虑财政承受能力、可持续发展，科学合理确定政府采购需求，体现厉行节约的思想，得1分；④项目规划设计能够说明资金渠道及各类资金来源，能够体现资金来源的可靠性和安全性，得1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评估论证</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考察项目立项或确立环节的评估论证是否科学、规范、有效。</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①经过部门以上级别组织的集体决策或评估论证，程序合法合规，得2分；②组织专家、专业机构开展行之有效的评估论证，获得比较客观、公正、准确的结论，得2分。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1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未组织专家、专业机构开展评估论证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1" w:hRule="atLeast"/>
        </w:trPr>
        <w:tc>
          <w:tcPr>
            <w:tcW w:w="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绩效 目标</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项目绩效目标</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考察项目绩效目标设置是否科学、准确、规范。</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绩效目标设置比较全面、规范、准确，得1分；②绩效指标设计能充分体现重要性、相关性原则，得1分；③绩效指标设计能充分体现成本效益最大化原则，得1分；④绩效指标值设置有科学依据，既要符合客观实际，又要体现适度增长，得1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w:t>
            </w:r>
          </w:p>
        </w:tc>
        <w:tc>
          <w:tcPr>
            <w:tcW w:w="1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未指定项目质量指标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trPr>
        <w:tc>
          <w:tcPr>
            <w:tcW w:w="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资金 投入</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预算编制</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预算编制是否合理、规范。一是支出内容是否合理，是否与项目工作内容和绩效目标高度相关；二是预算明细是否详尽清晰，是否能对每一项支出分解到最小单元（数量*单价）；三是数量和单价的测算依据来源是否可信可靠。</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支出内容合理，与项目工作内容和绩效目标高度相关，得1分；②项目预算明细表详尽清晰，对每一项支出能够分解到最小单元（数量*单价），得1分；③项目预算所依据的标准合理合规，如所需数量和单价确定的依据来源可靠，得1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预算分配</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考察预算分配程序是否公平、公开、公正。预算分配包括区域之间的分配、子项目之间的分配。</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①项目预算资金分配遵循严格规范的程序，确保公开、公正，得1分；②分配的标准统一、公平、合理，得1分。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如不涉及资金分配，本项默认满分。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2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过程</w:t>
            </w:r>
          </w:p>
        </w:tc>
        <w:tc>
          <w:tcPr>
            <w:tcW w:w="4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业务</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管理</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管理措施</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考察项目实施单位的业务管理制度是否规范、全面、有效。</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①项目业务管理制度制定全面，得1分；②为项目建设配套了管理机构、人员等支撑，得1分；③建立了保障项目顺利实施的工作机制，得1分。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4" w:hRule="atLeast"/>
        </w:trPr>
        <w:tc>
          <w:tcPr>
            <w:tcW w:w="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项目实施</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考察项目实施单位项目实施是否符合实施方案或相关管理规定要求。</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招投标、采购、建设、验收等严格执行方案要求或相关制度规定，政府采购项目全过程信息公开，得1分；②项目的设立及调整按规定履行报批程序，得1分；③项目资金公示内容完整、明晰、细化，并公布监督举报电话，得1分；④建设项目施工合同书、验收报告、成果等资料是否齐全、准确并及时归档，得1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w:t>
            </w:r>
          </w:p>
        </w:tc>
        <w:tc>
          <w:tcPr>
            <w:tcW w:w="1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项目质保金1.5%低于财政专项资金文件规定的5%，项目未公示资金来源、监督举报电话等信息。项目资料基本齐全，但未整理归档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1" w:hRule="atLeast"/>
        </w:trPr>
        <w:tc>
          <w:tcPr>
            <w:tcW w:w="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监督评价</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考察项目实施单位保障项目质量要求采取的措施是否及时、有效。</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为保障项目质量，项目实施过程中，采取有效的监督、检查等控制措施或手段，得1分；②项目实施完毕后，组织专家或专业机构进行考核验收，政府采购项目规范开展履约验收，得1分；③能够按时完成绩效自评，并能够客观真实的反映成绩和问题，得1分；④对比上一年度绩效评价、审计、巡视巡查反映情况与今年项目实施情况，按时整改到位，按要求报送绩效评价整改情况的，得1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财务           管理</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使用合法性</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考察资金拨付、使用是否合法、合规。</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①资金拨付有完整的审批程序和手续，政府采购项目按照规定支付预付款、进度款和结算款，得2分；②资金专款专用，无挤占、挪用、虚列支出等情况，得2分。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（如20%及以上的项目资金支出与项目预算内容无关，则绩效评价得分整体扣40分）。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0" w:hRule="atLeast"/>
        </w:trPr>
        <w:tc>
          <w:tcPr>
            <w:tcW w:w="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资金使用率</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通过资金使用率考察预算单位预算编制准确性和项目执行力度。</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财政拨付的预算资金90%及以上使用得4分；80%及以上得3分；70%及以上得2分；70%（不含）以下不得分。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资金使用率100%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 w:hRule="atLeast"/>
        </w:trPr>
        <w:tc>
          <w:tcPr>
            <w:tcW w:w="2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产出</w:t>
            </w:r>
          </w:p>
        </w:tc>
        <w:tc>
          <w:tcPr>
            <w:tcW w:w="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数量 指标</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实际完成率</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反映和考核项目产出数量目标的实现程度。</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220" w:afterAutospacing="0"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实际完成率=（实际产出数/计划产出数）×100%</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实际产出数：一定时期（本年度或项目期）内白鹤洞村烤烟配套设施项目建设完成数量。</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 xml:space="preserve">计划产出数：项目绩效目标确定的在一定时期内（本年度或项目期）内白鹤洞村烤烟配套设施项目建设计划数量。                            ①新建白鹤洞村热泵烤烟房10座，配套储烟室2处700㎡，得5分，实际产出数量减少1%扣0.5分，扣完为止；                                                ②购置烤烟设备10套，得5分，实际产出数量减少1台扣1分，扣完为止。                                                 </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质量 指标</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质量达标率</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反映和考核项目产出质量目标的实现程度。</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质量达标率=（质量达标产出数/实际产出数）×100%</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质量达标产出数：一定时期（本年度或项目期）内实际达到质量标准的工程和项目。</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①工程质量、验收合格率达到100%，得5分，否则不得分；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 xml:space="preserve">②货物质量、验收合格率达到100%，得5分，否则不得分；                                             </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4" w:hRule="atLeast"/>
        </w:trPr>
        <w:tc>
          <w:tcPr>
            <w:tcW w:w="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时效 指标</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时效达标率</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反映和考核项目产出时效目标的实现程度。</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实际完成时间：项目开工、验收、资金拨付实际所耗用的时间。</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计划完成时间：项目开工、验收、资金拨付约定的完成时间。</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①项目按时开工率达到100%，得2分；低于100%的，按比例得分；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②项目按时竣工验收率达到100%，得5分；低于100%的，按比例得分；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③项目资金按时拨付率达到100%，得3分；低于100%的，按比例得分。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FF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9" w:hRule="atLeast"/>
        </w:trPr>
        <w:tc>
          <w:tcPr>
            <w:tcW w:w="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成本 指标</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成本节约率</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完成项目计划工作目标的实际节约成本与计划成本的比率，用以反映和考核项目的成本节约程度。</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成本节约率=[(计划成本-实际成本)/计划成本]×100%</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实际成本：项目实施单位如期、保质、保量完成既定工作目标实际所耗费的支出。</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计划成本：项目实施单位为完成工作目标计划安排的支出，以项目预算为参考。</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成本节约率大于等于0，得10分；因项目增加、变更导致项目超支10%以内扣5分，否则不得分。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w:t>
            </w:r>
          </w:p>
        </w:tc>
        <w:tc>
          <w:tcPr>
            <w:tcW w:w="1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项目决算金额170.00万元，合同价款1,693,868.00元，超出比例0.36%，但未超过资金总指标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2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效益</w:t>
            </w:r>
          </w:p>
        </w:tc>
        <w:tc>
          <w:tcPr>
            <w:tcW w:w="4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实施效益及满意度</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经济效益</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项目实施对经济发展所带来的直接或间接影响情况。</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①每炕减少烤烟成本≈428元，得2分，否则得0分；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②为附近村民提供工作岗位，增加村民经济收入，得2分，否则得0分。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FF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社会效益</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项目实施对社会发展所带来的直接或间接影响情况。</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项目实施后服务烤烟面积≥200亩，得4分，200亩＜实际服务烤烟面积≥150亩，按比例得分，否则不得分； </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FF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 w:hRule="atLeast"/>
        </w:trPr>
        <w:tc>
          <w:tcPr>
            <w:tcW w:w="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生态效益</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项目实施对生态环境所带来的直接或间接影响情况。</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①每炕烤烟减少使用生物质燃料≥1.2吨，得2分，否则得0分；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②生态环境影响为正面，无投诉，得2分，否则得0分。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FF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trPr>
        <w:tc>
          <w:tcPr>
            <w:tcW w:w="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可持续影响</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项目后续运行及成效发挥的可持续影响情况。</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助力白鹤洞村千亩烟叶发展，带动集体及农户共同收益，减少烤烟成本、增加经济收入，为白鹤洞村乡村振兴、全面建成小康社会奠定基础，得4分；                </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FF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4" w:hRule="atLeast"/>
        </w:trPr>
        <w:tc>
          <w:tcPr>
            <w:tcW w:w="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4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满意度</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受益人群对项目实施效果的满意程度。</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采取问卷调查的方式，调查了解因项目实施而受到影响的社会群众对项目实施效果的满意程度，以调查得分按比例计分，满意度达95%得4分，94%≤满意度≥80%按比例得分，小于80%不得分。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满意度为95%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 w:hRule="atLeast"/>
        </w:trPr>
        <w:tc>
          <w:tcPr>
            <w:tcW w:w="126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评价总分</w:t>
            </w:r>
          </w:p>
        </w:tc>
        <w:tc>
          <w:tcPr>
            <w:tcW w:w="2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b/>
                <w:bCs/>
                <w:i w:val="0"/>
                <w:iCs w:val="0"/>
                <w:color w:val="000000"/>
                <w:sz w:val="16"/>
                <w:szCs w:val="16"/>
                <w:u w:val="none"/>
              </w:rPr>
            </w:pPr>
          </w:p>
        </w:tc>
        <w:tc>
          <w:tcPr>
            <w:tcW w:w="4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b/>
                <w:bCs/>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100</w:t>
            </w:r>
          </w:p>
        </w:tc>
        <w:tc>
          <w:tcPr>
            <w:tcW w:w="5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94</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b/>
                <w:bCs/>
                <w:i w:val="0"/>
                <w:iCs w:val="0"/>
                <w:color w:val="000000"/>
                <w:sz w:val="15"/>
                <w:szCs w:val="15"/>
                <w:u w:val="none"/>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2"/>
          <w:sz w:val="44"/>
          <w:szCs w:val="4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val="0"/>
          <w:bCs w:val="0"/>
          <w:color w:val="auto"/>
          <w:kern w:val="2"/>
          <w:sz w:val="44"/>
          <w:szCs w:val="44"/>
          <w:lang w:val="en-US" w:eastAsia="zh-CN" w:bidi="ar-SA"/>
        </w:rPr>
      </w:pPr>
      <w:r>
        <w:rPr>
          <w:rFonts w:hint="eastAsia" w:ascii="仿宋_GB2312" w:hAnsi="仿宋_GB2312" w:eastAsia="仿宋_GB2312" w:cs="仿宋_GB2312"/>
          <w:b w:val="0"/>
          <w:bCs w:val="0"/>
          <w:color w:val="auto"/>
          <w:kern w:val="2"/>
          <w:sz w:val="44"/>
          <w:szCs w:val="44"/>
          <w:lang w:val="en-US" w:eastAsia="zh-CN" w:bidi="ar-SA"/>
        </w:rPr>
        <w:t>附件四</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color w:val="auto"/>
          <w:kern w:val="2"/>
          <w:sz w:val="44"/>
          <w:szCs w:val="44"/>
          <w:lang w:val="en-US" w:eastAsia="zh-CN" w:bidi="ar-SA"/>
        </w:rPr>
      </w:pPr>
      <w:r>
        <w:rPr>
          <w:rFonts w:hint="eastAsia" w:ascii="方正小标宋简体" w:hAnsi="方正小标宋简体" w:eastAsia="方正小标宋简体" w:cs="方正小标宋简体"/>
          <w:b w:val="0"/>
          <w:bCs w:val="0"/>
          <w:color w:val="auto"/>
          <w:kern w:val="2"/>
          <w:sz w:val="44"/>
          <w:szCs w:val="44"/>
          <w:lang w:val="en-US" w:eastAsia="zh-CN" w:bidi="ar-SA"/>
        </w:rPr>
        <w:t>2022年度云峰村中药材加工项目项目</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color w:val="auto"/>
          <w:kern w:val="2"/>
          <w:sz w:val="44"/>
          <w:szCs w:val="44"/>
          <w:lang w:val="en-US" w:eastAsia="zh-CN" w:bidi="ar-SA"/>
        </w:rPr>
      </w:pPr>
      <w:r>
        <w:rPr>
          <w:rFonts w:hint="eastAsia" w:ascii="方正小标宋简体" w:hAnsi="方正小标宋简体" w:eastAsia="方正小标宋简体" w:cs="方正小标宋简体"/>
          <w:b w:val="0"/>
          <w:bCs w:val="0"/>
          <w:color w:val="auto"/>
          <w:kern w:val="2"/>
          <w:sz w:val="44"/>
          <w:szCs w:val="44"/>
          <w:lang w:val="en-US" w:eastAsia="zh-CN" w:bidi="ar-SA"/>
        </w:rPr>
        <w:t>财政评价结果</w:t>
      </w:r>
    </w:p>
    <w:p>
      <w:pPr>
        <w:keepNext w:val="0"/>
        <w:keepLines w:val="0"/>
        <w:pageBreakBefore w:val="0"/>
        <w:widowControl/>
        <w:kinsoku/>
        <w:wordWrap/>
        <w:overflowPunct/>
        <w:topLinePunct w:val="0"/>
        <w:autoSpaceDE/>
        <w:autoSpaceDN/>
        <w:bidi w:val="0"/>
        <w:adjustRightInd/>
        <w:snapToGrid/>
        <w:spacing w:line="500" w:lineRule="exact"/>
        <w:ind w:firstLine="632" w:firstLineChars="200"/>
        <w:jc w:val="left"/>
        <w:textAlignment w:val="auto"/>
        <w:outlineLvl w:val="1"/>
        <w:rPr>
          <w:rFonts w:ascii="黑体" w:hAnsi="黑体" w:eastAsia="黑体" w:cs="黑体"/>
          <w:bCs/>
          <w:color w:val="auto"/>
          <w:sz w:val="32"/>
          <w:szCs w:val="32"/>
        </w:rPr>
      </w:pPr>
      <w:r>
        <w:rPr>
          <w:rFonts w:hint="eastAsia" w:ascii="黑体" w:hAnsi="黑体" w:eastAsia="黑体" w:cs="黑体"/>
          <w:bCs/>
          <w:color w:val="auto"/>
          <w:sz w:val="32"/>
          <w:szCs w:val="32"/>
        </w:rPr>
        <w:t>一、评价分数和等级</w:t>
      </w:r>
    </w:p>
    <w:p>
      <w:pPr>
        <w:pStyle w:val="10"/>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rPr>
          <w:rFonts w:ascii="仿宋" w:hAnsi="仿宋" w:eastAsia="仿宋" w:cs="仿宋"/>
          <w:color w:val="auto"/>
          <w:sz w:val="32"/>
          <w:szCs w:val="32"/>
        </w:rPr>
      </w:pPr>
      <w:r>
        <w:rPr>
          <w:rFonts w:hint="eastAsia" w:ascii="仿宋" w:hAnsi="仿宋" w:eastAsia="仿宋" w:cs="仿宋"/>
          <w:color w:val="auto"/>
          <w:sz w:val="32"/>
          <w:szCs w:val="32"/>
          <w:lang w:eastAsia="zh-CN"/>
        </w:rPr>
        <w:t>秭归县乡村振兴局2022年杨林桥镇云峰村中药材收储项目</w:t>
      </w:r>
      <w:r>
        <w:rPr>
          <w:rFonts w:hint="eastAsia" w:ascii="仿宋" w:hAnsi="仿宋" w:eastAsia="仿宋" w:cs="仿宋"/>
          <w:color w:val="auto"/>
          <w:sz w:val="32"/>
          <w:szCs w:val="32"/>
        </w:rPr>
        <w:t>绩效评分为</w:t>
      </w:r>
      <w:r>
        <w:rPr>
          <w:rFonts w:hint="eastAsia" w:ascii="仿宋" w:hAnsi="仿宋" w:eastAsia="仿宋" w:cs="仿宋"/>
          <w:color w:val="auto"/>
          <w:sz w:val="32"/>
          <w:szCs w:val="32"/>
          <w:lang w:val="en-US" w:eastAsia="zh-CN"/>
        </w:rPr>
        <w:t>84</w:t>
      </w:r>
      <w:r>
        <w:rPr>
          <w:rFonts w:hint="eastAsia" w:ascii="仿宋" w:hAnsi="仿宋" w:eastAsia="仿宋" w:cs="仿宋"/>
          <w:color w:val="auto"/>
          <w:sz w:val="32"/>
          <w:szCs w:val="32"/>
        </w:rPr>
        <w:t>分,绩效等级为“</w:t>
      </w:r>
      <w:r>
        <w:rPr>
          <w:rFonts w:hint="eastAsia" w:ascii="仿宋" w:hAnsi="仿宋" w:eastAsia="仿宋" w:cs="仿宋"/>
          <w:color w:val="auto"/>
          <w:sz w:val="32"/>
          <w:szCs w:val="32"/>
          <w:lang w:val="en-US" w:eastAsia="zh-CN"/>
        </w:rPr>
        <w:t>良</w:t>
      </w:r>
      <w:r>
        <w:rPr>
          <w:rFonts w:ascii="仿宋" w:hAnsi="仿宋" w:eastAsia="仿宋" w:cs="仿宋"/>
          <w:color w:val="auto"/>
          <w:sz w:val="32"/>
          <w:szCs w:val="32"/>
        </w:rPr>
        <w:t>”</w:t>
      </w:r>
      <w:r>
        <w:rPr>
          <w:rFonts w:hint="eastAsia" w:ascii="仿宋" w:hAnsi="仿宋" w:eastAsia="仿宋" w:cs="仿宋"/>
          <w:color w:val="auto"/>
          <w:sz w:val="32"/>
          <w:szCs w:val="32"/>
        </w:rPr>
        <w:t>。</w:t>
      </w:r>
    </w:p>
    <w:p>
      <w:pPr>
        <w:pStyle w:val="10"/>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outlineLvl w:val="1"/>
        <w:rPr>
          <w:rFonts w:ascii="仿宋" w:hAnsi="仿宋" w:eastAsia="仿宋" w:cs="仿宋"/>
          <w:color w:val="auto"/>
          <w:sz w:val="32"/>
          <w:szCs w:val="32"/>
        </w:rPr>
      </w:pPr>
      <w:r>
        <w:rPr>
          <w:rFonts w:hint="eastAsia" w:ascii="黑体" w:hAnsi="黑体" w:eastAsia="黑体" w:cs="黑体"/>
          <w:color w:val="auto"/>
          <w:sz w:val="32"/>
          <w:szCs w:val="32"/>
        </w:rPr>
        <w:t>二、绩效目标完成情况分析</w:t>
      </w:r>
    </w:p>
    <w:p>
      <w:pPr>
        <w:pStyle w:val="10"/>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ascii="仿宋" w:hAnsi="仿宋" w:eastAsia="仿宋" w:cs="仿宋"/>
          <w:color w:val="auto"/>
          <w:sz w:val="32"/>
          <w:szCs w:val="32"/>
          <w:lang w:val="en-US" w:eastAsia="zh-CN"/>
        </w:rPr>
      </w:pPr>
      <w:r>
        <w:rPr>
          <w:rFonts w:hint="eastAsia" w:ascii="楷体" w:hAnsi="楷体" w:eastAsia="楷体" w:cs="楷体"/>
          <w:color w:val="auto"/>
          <w:sz w:val="32"/>
          <w:szCs w:val="32"/>
        </w:rPr>
        <w:t>（一）项目</w:t>
      </w:r>
      <w:r>
        <w:rPr>
          <w:rFonts w:hint="eastAsia" w:ascii="楷体" w:hAnsi="楷体" w:eastAsia="楷体" w:cs="楷体"/>
          <w:color w:val="auto"/>
          <w:sz w:val="32"/>
          <w:szCs w:val="32"/>
          <w:lang w:val="en-US" w:eastAsia="zh-CN"/>
        </w:rPr>
        <w:t>决策</w:t>
      </w:r>
      <w:r>
        <w:rPr>
          <w:rFonts w:hint="eastAsia" w:ascii="楷体" w:hAnsi="楷体" w:eastAsia="楷体" w:cs="楷体"/>
          <w:color w:val="auto"/>
          <w:sz w:val="32"/>
          <w:szCs w:val="32"/>
        </w:rPr>
        <w:t>。</w:t>
      </w:r>
      <w:r>
        <w:rPr>
          <w:rFonts w:hint="eastAsia" w:ascii="仿宋" w:hAnsi="仿宋" w:eastAsia="仿宋" w:cs="仿宋"/>
          <w:color w:val="auto"/>
          <w:sz w:val="32"/>
          <w:szCs w:val="32"/>
        </w:rPr>
        <w:t>权重</w:t>
      </w:r>
      <w:r>
        <w:rPr>
          <w:rFonts w:hint="eastAsia" w:ascii="仿宋" w:hAnsi="仿宋" w:eastAsia="仿宋" w:cs="仿宋"/>
          <w:color w:val="auto"/>
          <w:sz w:val="32"/>
          <w:szCs w:val="32"/>
          <w:lang w:val="en-US" w:eastAsia="zh-CN"/>
        </w:rPr>
        <w:t>21</w:t>
      </w:r>
      <w:r>
        <w:rPr>
          <w:rFonts w:hint="eastAsia" w:ascii="仿宋" w:hAnsi="仿宋" w:eastAsia="仿宋" w:cs="仿宋"/>
          <w:color w:val="auto"/>
          <w:sz w:val="32"/>
          <w:szCs w:val="32"/>
        </w:rPr>
        <w:t>分，得分</w:t>
      </w:r>
      <w:r>
        <w:rPr>
          <w:rFonts w:hint="eastAsia" w:ascii="仿宋" w:hAnsi="仿宋" w:eastAsia="仿宋" w:cs="仿宋"/>
          <w:color w:val="auto"/>
          <w:sz w:val="32"/>
          <w:szCs w:val="32"/>
          <w:lang w:val="en-US" w:eastAsia="zh-CN"/>
        </w:rPr>
        <w:t>19</w:t>
      </w:r>
      <w:r>
        <w:rPr>
          <w:rFonts w:hint="eastAsia" w:ascii="仿宋" w:hAnsi="仿宋" w:eastAsia="仿宋" w:cs="仿宋"/>
          <w:color w:val="auto"/>
          <w:sz w:val="32"/>
          <w:szCs w:val="32"/>
        </w:rPr>
        <w:t>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扣分2分</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主要扣分点在于项目绩效目标及预算编制指标，主要扣分原因为未制定项目质量指标、时效指标设定不合理；预算确定的工程量及投资额与实际不匹配，导致在施工过程中增加工程量及投资额</w:t>
      </w:r>
      <w:r>
        <w:rPr>
          <w:rFonts w:hint="eastAsia" w:ascii="仿宋" w:hAnsi="仿宋" w:eastAsia="仿宋" w:cs="仿宋"/>
          <w:color w:val="auto"/>
          <w:sz w:val="32"/>
          <w:szCs w:val="32"/>
          <w:lang w:eastAsia="zh-CN"/>
        </w:rPr>
        <w:t>。</w:t>
      </w:r>
    </w:p>
    <w:p>
      <w:pPr>
        <w:pStyle w:val="10"/>
        <w:keepNext w:val="0"/>
        <w:keepLines w:val="0"/>
        <w:pageBreakBefore w:val="0"/>
        <w:numPr>
          <w:ilvl w:val="0"/>
          <w:numId w:val="1"/>
        </w:numPr>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ascii="楷体" w:hAnsi="楷体" w:eastAsia="楷体" w:cs="楷体"/>
          <w:color w:val="auto"/>
          <w:sz w:val="32"/>
          <w:szCs w:val="32"/>
          <w:lang w:eastAsia="zh-CN"/>
        </w:rPr>
      </w:pPr>
      <w:r>
        <w:rPr>
          <w:rFonts w:hint="eastAsia" w:ascii="楷体" w:hAnsi="楷体" w:eastAsia="楷体" w:cs="楷体"/>
          <w:color w:val="auto"/>
          <w:sz w:val="32"/>
          <w:szCs w:val="32"/>
          <w:lang w:val="en-US" w:eastAsia="zh-CN"/>
        </w:rPr>
        <w:t>项目过程</w:t>
      </w:r>
      <w:r>
        <w:rPr>
          <w:rFonts w:hint="eastAsia" w:ascii="楷体" w:hAnsi="楷体" w:eastAsia="楷体" w:cs="楷体"/>
          <w:color w:val="auto"/>
          <w:sz w:val="32"/>
          <w:szCs w:val="32"/>
          <w:lang w:eastAsia="zh-CN"/>
        </w:rPr>
        <w:t>。</w:t>
      </w:r>
      <w:r>
        <w:rPr>
          <w:rFonts w:hint="eastAsia" w:ascii="仿宋" w:hAnsi="仿宋" w:eastAsia="仿宋" w:cs="仿宋"/>
          <w:color w:val="auto"/>
          <w:sz w:val="32"/>
          <w:szCs w:val="32"/>
          <w:lang w:val="en-US" w:eastAsia="zh-CN"/>
        </w:rPr>
        <w:t>权重19分，得分17分，扣分2分。主要扣分点在于项目实施指标，主要扣分原因为项目建设合同中约定的质保金1.5%低于财政专项资金文件规定的5%。项目公示内容不完整，无监督举报电话等信息。项目资料不齐全，也未整理归档。</w:t>
      </w:r>
    </w:p>
    <w:p>
      <w:pPr>
        <w:pStyle w:val="10"/>
        <w:keepNext w:val="0"/>
        <w:keepLines w:val="0"/>
        <w:pageBreakBefore w:val="0"/>
        <w:numPr>
          <w:ilvl w:val="0"/>
          <w:numId w:val="1"/>
        </w:numPr>
        <w:kinsoku/>
        <w:wordWrap/>
        <w:overflowPunct/>
        <w:topLinePunct w:val="0"/>
        <w:autoSpaceDE/>
        <w:autoSpaceDN/>
        <w:bidi w:val="0"/>
        <w:adjustRightInd/>
        <w:snapToGrid/>
        <w:spacing w:before="0" w:beforeAutospacing="0" w:after="0" w:afterAutospacing="0" w:line="500" w:lineRule="exact"/>
        <w:ind w:left="0" w:leftChars="0" w:firstLine="632" w:firstLineChars="200"/>
        <w:textAlignment w:val="auto"/>
        <w:rPr>
          <w:rFonts w:hint="eastAsia" w:ascii="仿宋" w:hAnsi="仿宋" w:eastAsia="仿宋" w:cs="仿宋"/>
          <w:color w:val="auto"/>
          <w:sz w:val="32"/>
          <w:szCs w:val="32"/>
          <w:lang w:val="en-US" w:eastAsia="zh-CN"/>
        </w:rPr>
      </w:pPr>
      <w:r>
        <w:rPr>
          <w:rFonts w:hint="eastAsia" w:ascii="楷体" w:hAnsi="楷体" w:eastAsia="楷体" w:cs="楷体"/>
          <w:color w:val="auto"/>
          <w:sz w:val="32"/>
          <w:szCs w:val="32"/>
          <w:lang w:val="en-US" w:eastAsia="zh-CN"/>
        </w:rPr>
        <w:t>项目产出</w:t>
      </w:r>
      <w:r>
        <w:rPr>
          <w:rFonts w:hint="eastAsia" w:ascii="楷体" w:hAnsi="楷体" w:eastAsia="楷体" w:cs="楷体"/>
          <w:color w:val="auto"/>
          <w:sz w:val="32"/>
          <w:szCs w:val="32"/>
        </w:rPr>
        <w:t>。</w:t>
      </w:r>
      <w:r>
        <w:rPr>
          <w:rFonts w:hint="eastAsia" w:ascii="仿宋" w:hAnsi="仿宋" w:eastAsia="仿宋" w:cs="仿宋"/>
          <w:color w:val="auto"/>
          <w:sz w:val="32"/>
          <w:szCs w:val="32"/>
        </w:rPr>
        <w:t>权重</w:t>
      </w:r>
      <w:r>
        <w:rPr>
          <w:rFonts w:hint="eastAsia" w:ascii="仿宋" w:hAnsi="仿宋" w:eastAsia="仿宋" w:cs="仿宋"/>
          <w:color w:val="auto"/>
          <w:sz w:val="32"/>
          <w:szCs w:val="32"/>
          <w:lang w:val="en-US" w:eastAsia="zh-CN"/>
        </w:rPr>
        <w:t>40</w:t>
      </w:r>
      <w:r>
        <w:rPr>
          <w:rFonts w:hint="eastAsia" w:ascii="仿宋" w:hAnsi="仿宋" w:eastAsia="仿宋" w:cs="仿宋"/>
          <w:color w:val="auto"/>
          <w:sz w:val="32"/>
          <w:szCs w:val="32"/>
        </w:rPr>
        <w:t>分，得分</w:t>
      </w:r>
      <w:r>
        <w:rPr>
          <w:rFonts w:hint="eastAsia" w:ascii="仿宋" w:hAnsi="仿宋" w:eastAsia="仿宋" w:cs="仿宋"/>
          <w:color w:val="auto"/>
          <w:sz w:val="32"/>
          <w:szCs w:val="32"/>
          <w:lang w:val="en-US" w:eastAsia="zh-CN"/>
        </w:rPr>
        <w:t>28</w:t>
      </w:r>
      <w:r>
        <w:rPr>
          <w:rFonts w:hint="eastAsia" w:ascii="仿宋" w:hAnsi="仿宋" w:eastAsia="仿宋" w:cs="仿宋"/>
          <w:color w:val="auto"/>
          <w:sz w:val="32"/>
          <w:szCs w:val="32"/>
        </w:rPr>
        <w:t>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扣分12分</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主要扣分点在于项目成本、时效及质量指标，主要扣分原因为因项目增加、变更导致项目实际成本超过合同价款。项目实际工期超过目标工期，项目分项工程均已验收合格，但项目整体未及时竣工验收。</w:t>
      </w:r>
    </w:p>
    <w:p>
      <w:pPr>
        <w:pStyle w:val="10"/>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ascii="仿宋" w:hAnsi="仿宋" w:eastAsia="仿宋" w:cs="仿宋"/>
          <w:color w:val="auto"/>
          <w:sz w:val="32"/>
          <w:szCs w:val="32"/>
          <w:lang w:val="en-US" w:eastAsia="zh-CN"/>
        </w:rPr>
      </w:pPr>
      <w:r>
        <w:rPr>
          <w:rFonts w:hint="eastAsia" w:ascii="楷体" w:hAnsi="楷体" w:eastAsia="楷体" w:cs="楷体"/>
          <w:color w:val="auto"/>
          <w:sz w:val="32"/>
          <w:szCs w:val="32"/>
          <w:lang w:val="en-US" w:eastAsia="zh-CN"/>
        </w:rPr>
        <w:t>（四）实施效益及满意度</w:t>
      </w:r>
      <w:r>
        <w:rPr>
          <w:rFonts w:hint="eastAsia" w:ascii="楷体" w:hAnsi="楷体" w:eastAsia="楷体" w:cs="楷体"/>
          <w:color w:val="auto"/>
          <w:sz w:val="32"/>
          <w:szCs w:val="32"/>
        </w:rPr>
        <w:t>。</w:t>
      </w:r>
      <w:r>
        <w:rPr>
          <w:rFonts w:hint="eastAsia" w:ascii="仿宋" w:hAnsi="仿宋" w:eastAsia="仿宋" w:cs="仿宋"/>
          <w:color w:val="auto"/>
          <w:kern w:val="2"/>
          <w:sz w:val="32"/>
          <w:szCs w:val="32"/>
        </w:rPr>
        <w:t>权重</w:t>
      </w:r>
      <w:r>
        <w:rPr>
          <w:rFonts w:hint="eastAsia" w:ascii="仿宋" w:hAnsi="仿宋" w:eastAsia="仿宋" w:cs="仿宋"/>
          <w:color w:val="auto"/>
          <w:kern w:val="2"/>
          <w:sz w:val="32"/>
          <w:szCs w:val="32"/>
          <w:lang w:val="en-US" w:eastAsia="zh-CN"/>
        </w:rPr>
        <w:t>2</w:t>
      </w:r>
      <w:r>
        <w:rPr>
          <w:rFonts w:hint="eastAsia" w:ascii="仿宋" w:hAnsi="仿宋" w:eastAsia="仿宋" w:cs="仿宋"/>
          <w:color w:val="auto"/>
          <w:kern w:val="2"/>
          <w:sz w:val="32"/>
          <w:szCs w:val="32"/>
        </w:rPr>
        <w:t>0分，得分</w:t>
      </w:r>
      <w:r>
        <w:rPr>
          <w:rFonts w:hint="eastAsia" w:ascii="仿宋" w:hAnsi="仿宋" w:eastAsia="仿宋" w:cs="仿宋"/>
          <w:color w:val="auto"/>
          <w:kern w:val="2"/>
          <w:sz w:val="32"/>
          <w:szCs w:val="32"/>
          <w:lang w:val="en-US" w:eastAsia="zh-CN"/>
        </w:rPr>
        <w:t>20</w:t>
      </w:r>
      <w:r>
        <w:rPr>
          <w:rFonts w:hint="eastAsia" w:ascii="仿宋" w:hAnsi="仿宋" w:eastAsia="仿宋" w:cs="仿宋"/>
          <w:color w:val="auto"/>
          <w:kern w:val="2"/>
          <w:sz w:val="32"/>
          <w:szCs w:val="32"/>
        </w:rPr>
        <w:t>分</w:t>
      </w:r>
      <w:r>
        <w:rPr>
          <w:rFonts w:hint="eastAsia" w:ascii="仿宋" w:hAnsi="仿宋" w:eastAsia="仿宋" w:cs="仿宋"/>
          <w:color w:val="auto"/>
          <w:kern w:val="2"/>
          <w:sz w:val="32"/>
          <w:szCs w:val="32"/>
          <w:lang w:eastAsia="zh-CN"/>
        </w:rPr>
        <w:t>，</w:t>
      </w:r>
      <w:r>
        <w:rPr>
          <w:rFonts w:hint="eastAsia" w:ascii="仿宋" w:hAnsi="仿宋" w:eastAsia="仿宋" w:cs="仿宋"/>
          <w:color w:val="auto"/>
          <w:sz w:val="32"/>
          <w:szCs w:val="32"/>
        </w:rPr>
        <w:t>项目</w:t>
      </w:r>
      <w:r>
        <w:rPr>
          <w:rFonts w:hint="eastAsia" w:ascii="仿宋" w:hAnsi="仿宋" w:eastAsia="仿宋" w:cs="仿宋"/>
          <w:color w:val="auto"/>
          <w:sz w:val="32"/>
          <w:szCs w:val="32"/>
          <w:lang w:val="en-US" w:eastAsia="zh-CN"/>
        </w:rPr>
        <w:t>实施后，有效推进云峰村中药材产业发展，促进种植农户、市场主体及村集体增收，</w:t>
      </w:r>
      <w:r>
        <w:rPr>
          <w:rFonts w:hint="eastAsia" w:ascii="仿宋" w:hAnsi="仿宋" w:eastAsia="仿宋" w:cs="仿宋"/>
          <w:color w:val="auto"/>
          <w:sz w:val="32"/>
          <w:szCs w:val="32"/>
        </w:rPr>
        <w:t>为</w:t>
      </w:r>
      <w:r>
        <w:rPr>
          <w:rFonts w:hint="eastAsia" w:ascii="仿宋" w:hAnsi="仿宋" w:eastAsia="仿宋" w:cs="仿宋"/>
          <w:color w:val="auto"/>
          <w:sz w:val="32"/>
          <w:szCs w:val="32"/>
          <w:lang w:val="en-US" w:eastAsia="zh-CN"/>
        </w:rPr>
        <w:t>云峰村</w:t>
      </w:r>
      <w:r>
        <w:rPr>
          <w:rFonts w:hint="eastAsia" w:ascii="仿宋" w:hAnsi="仿宋" w:eastAsia="仿宋" w:cs="仿宋"/>
          <w:color w:val="auto"/>
          <w:sz w:val="32"/>
          <w:szCs w:val="32"/>
        </w:rPr>
        <w:t>乡村振兴、全面建成小康社会奠定基础</w:t>
      </w:r>
      <w:r>
        <w:rPr>
          <w:rFonts w:hint="eastAsia" w:ascii="仿宋" w:hAnsi="仿宋" w:eastAsia="仿宋" w:cs="仿宋"/>
          <w:color w:val="auto"/>
          <w:sz w:val="32"/>
          <w:szCs w:val="32"/>
          <w:lang w:eastAsia="zh-CN"/>
        </w:rPr>
        <w:t>，</w:t>
      </w:r>
      <w:r>
        <w:rPr>
          <w:rFonts w:hint="eastAsia" w:ascii="仿宋" w:hAnsi="仿宋" w:eastAsia="仿宋" w:cs="仿宋"/>
          <w:color w:val="auto"/>
          <w:kern w:val="2"/>
          <w:sz w:val="32"/>
          <w:szCs w:val="32"/>
          <w:lang w:val="en-US" w:eastAsia="zh-CN"/>
        </w:rPr>
        <w:t>项目实施效益及满意度均达到预期目标值</w:t>
      </w:r>
      <w:r>
        <w:rPr>
          <w:rFonts w:hint="eastAsia" w:ascii="仿宋" w:hAnsi="仿宋" w:eastAsia="仿宋" w:cs="仿宋"/>
          <w:color w:val="auto"/>
          <w:sz w:val="32"/>
          <w:szCs w:val="32"/>
          <w:lang w:eastAsia="zh-CN"/>
        </w:rPr>
        <w:t>。</w:t>
      </w:r>
    </w:p>
    <w:p>
      <w:pPr>
        <w:pStyle w:val="10"/>
        <w:keepNext w:val="0"/>
        <w:keepLines w:val="0"/>
        <w:pageBreakBefore w:val="0"/>
        <w:numPr>
          <w:ilvl w:val="0"/>
          <w:numId w:val="0"/>
        </w:numPr>
        <w:suppressLineNumbers/>
        <w:kinsoku/>
        <w:wordWrap/>
        <w:overflowPunct/>
        <w:topLinePunct w:val="0"/>
        <w:autoSpaceDE/>
        <w:autoSpaceDN/>
        <w:bidi w:val="0"/>
        <w:adjustRightInd/>
        <w:snapToGrid/>
        <w:spacing w:before="0" w:beforeAutospacing="0" w:after="0" w:afterAutospacing="0" w:line="500" w:lineRule="exact"/>
        <w:ind w:firstLine="632" w:firstLineChars="200"/>
        <w:textAlignment w:val="auto"/>
        <w:outlineLvl w:val="1"/>
        <w:rPr>
          <w:rFonts w:ascii="黑体" w:hAnsi="黑体" w:eastAsia="黑体" w:cs="黑体"/>
          <w:color w:val="auto"/>
          <w:sz w:val="32"/>
          <w:szCs w:val="32"/>
        </w:rPr>
      </w:pPr>
      <w:r>
        <w:rPr>
          <w:rFonts w:hint="eastAsia" w:ascii="黑体" w:hAnsi="黑体" w:eastAsia="黑体" w:cs="黑体"/>
          <w:color w:val="auto"/>
          <w:sz w:val="32"/>
          <w:szCs w:val="32"/>
          <w:lang w:eastAsia="zh-CN"/>
        </w:rPr>
        <w:t>三、</w:t>
      </w:r>
      <w:r>
        <w:rPr>
          <w:rFonts w:hint="eastAsia" w:ascii="黑体" w:hAnsi="黑体" w:eastAsia="黑体" w:cs="黑体"/>
          <w:color w:val="auto"/>
          <w:sz w:val="32"/>
          <w:szCs w:val="32"/>
        </w:rPr>
        <w:t>存在的问题和原因</w:t>
      </w:r>
    </w:p>
    <w:p>
      <w:pPr>
        <w:keepNext w:val="0"/>
        <w:keepLines w:val="0"/>
        <w:pageBreakBefore w:val="0"/>
        <w:numPr>
          <w:ilvl w:val="0"/>
          <w:numId w:val="3"/>
        </w:numPr>
        <w:kinsoku/>
        <w:wordWrap/>
        <w:overflowPunct/>
        <w:topLinePunct w:val="0"/>
        <w:autoSpaceDE/>
        <w:autoSpaceDN/>
        <w:bidi w:val="0"/>
        <w:adjustRightInd/>
        <w:snapToGrid/>
        <w:spacing w:line="500" w:lineRule="exact"/>
        <w:ind w:firstLine="559" w:firstLineChars="177"/>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未设置</w:t>
      </w:r>
      <w:r>
        <w:rPr>
          <w:rFonts w:hint="eastAsia" w:ascii="楷体" w:hAnsi="楷体" w:eastAsia="楷体" w:cs="楷体"/>
          <w:color w:val="auto"/>
          <w:sz w:val="32"/>
          <w:szCs w:val="32"/>
          <w:lang w:val="en-US" w:eastAsia="zh-CN"/>
        </w:rPr>
        <w:t>项目质量指标、时效指标设定不合理</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s="仿宋"/>
          <w:color w:val="auto"/>
          <w:kern w:val="0"/>
          <w:sz w:val="32"/>
          <w:szCs w:val="32"/>
          <w:lang w:val="en-US" w:eastAsia="zh-CN"/>
        </w:rPr>
      </w:pPr>
      <w:r>
        <w:rPr>
          <w:rFonts w:ascii="仿宋" w:hAnsi="仿宋" w:eastAsia="仿宋" w:cs="仿宋"/>
          <w:color w:val="auto"/>
          <w:kern w:val="0"/>
          <w:sz w:val="32"/>
          <w:szCs w:val="32"/>
        </w:rPr>
        <w:t>项目单位</w:t>
      </w:r>
      <w:r>
        <w:rPr>
          <w:rFonts w:hint="eastAsia" w:ascii="仿宋" w:hAnsi="仿宋" w:eastAsia="仿宋" w:cs="仿宋"/>
          <w:color w:val="auto"/>
          <w:kern w:val="0"/>
          <w:sz w:val="32"/>
          <w:szCs w:val="32"/>
          <w:lang w:val="en-US" w:eastAsia="zh-CN"/>
        </w:rPr>
        <w:t>对本项目开展了预算编制、预算评审等工作，并制定了</w:t>
      </w:r>
      <w:r>
        <w:rPr>
          <w:rFonts w:ascii="仿宋" w:hAnsi="仿宋" w:eastAsia="仿宋" w:cs="仿宋"/>
          <w:color w:val="auto"/>
          <w:kern w:val="0"/>
          <w:sz w:val="32"/>
          <w:szCs w:val="32"/>
        </w:rPr>
        <w:t>项目绩效目标，</w:t>
      </w:r>
      <w:r>
        <w:rPr>
          <w:rFonts w:hint="eastAsia" w:ascii="仿宋" w:hAnsi="仿宋" w:eastAsia="仿宋" w:cs="仿宋"/>
          <w:color w:val="auto"/>
          <w:sz w:val="32"/>
          <w:szCs w:val="32"/>
          <w:lang w:val="en-US" w:eastAsia="zh-CN"/>
        </w:rPr>
        <w:t>但未设置项目质量指标，且时效指标设定不合理，不利于考核项目的质量及时效实现程度。</w:t>
      </w:r>
    </w:p>
    <w:p>
      <w:pPr>
        <w:keepNext w:val="0"/>
        <w:keepLines w:val="0"/>
        <w:pageBreakBefore w:val="0"/>
        <w:kinsoku/>
        <w:wordWrap/>
        <w:overflowPunct/>
        <w:topLinePunct w:val="0"/>
        <w:autoSpaceDE/>
        <w:autoSpaceDN/>
        <w:bidi w:val="0"/>
        <w:adjustRightInd/>
        <w:snapToGrid/>
        <w:spacing w:line="500" w:lineRule="exact"/>
        <w:ind w:firstLine="559" w:firstLineChars="177"/>
        <w:textAlignment w:val="auto"/>
        <w:rPr>
          <w:rFonts w:hint="default" w:ascii="楷体" w:hAnsi="楷体" w:eastAsia="楷体" w:cs="楷体"/>
          <w:color w:val="auto"/>
          <w:sz w:val="32"/>
          <w:szCs w:val="32"/>
          <w:lang w:val="en-US"/>
        </w:rPr>
      </w:pP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lang w:val="en-US" w:eastAsia="zh-CN"/>
        </w:rPr>
        <w:t>二</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lang w:val="en-US" w:eastAsia="zh-CN"/>
        </w:rPr>
        <w:t>预算编制的准确性有待提高</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项目前期开展的勘察、预算编制工作不细致、不准确，目标确定的投资额及工程量无法满足项目需求，项目施工过程中增加、变更子目，导致实际投资额及工程量远大于预算，影响项目资金的绩效评价考核管理。</w:t>
      </w:r>
    </w:p>
    <w:p>
      <w:pPr>
        <w:keepNext w:val="0"/>
        <w:keepLines w:val="0"/>
        <w:pageBreakBefore w:val="0"/>
        <w:kinsoku/>
        <w:wordWrap/>
        <w:overflowPunct/>
        <w:topLinePunct w:val="0"/>
        <w:autoSpaceDE/>
        <w:autoSpaceDN/>
        <w:bidi w:val="0"/>
        <w:adjustRightInd/>
        <w:snapToGrid/>
        <w:spacing w:line="500" w:lineRule="exact"/>
        <w:ind w:firstLine="414" w:firstLineChars="131"/>
        <w:textAlignment w:val="auto"/>
        <w:outlineLvl w:val="2"/>
        <w:rPr>
          <w:rFonts w:hint="eastAsia" w:ascii="楷体" w:hAnsi="楷体" w:eastAsia="楷体" w:cs="楷体"/>
          <w:color w:val="auto"/>
          <w:sz w:val="32"/>
          <w:szCs w:val="32"/>
        </w:rPr>
      </w:pPr>
      <w:r>
        <w:rPr>
          <w:rFonts w:hint="eastAsia" w:ascii="楷体" w:hAnsi="楷体" w:eastAsia="楷体" w:cs="楷体"/>
          <w:color w:val="auto"/>
          <w:sz w:val="32"/>
          <w:szCs w:val="32"/>
        </w:rPr>
        <w:t>（</w:t>
      </w:r>
      <w:r>
        <w:rPr>
          <w:rFonts w:hint="eastAsia" w:ascii="楷体" w:hAnsi="楷体" w:eastAsia="楷体" w:cs="楷体"/>
          <w:color w:val="auto"/>
          <w:sz w:val="32"/>
          <w:szCs w:val="32"/>
          <w:lang w:val="en-US" w:eastAsia="zh-CN"/>
        </w:rPr>
        <w:t>三</w:t>
      </w:r>
      <w:r>
        <w:rPr>
          <w:rFonts w:hint="eastAsia" w:ascii="楷体" w:hAnsi="楷体" w:eastAsia="楷体" w:cs="楷体"/>
          <w:color w:val="auto"/>
          <w:sz w:val="32"/>
          <w:szCs w:val="32"/>
        </w:rPr>
        <w:t>）</w:t>
      </w:r>
      <w:r>
        <w:rPr>
          <w:rFonts w:hint="eastAsia" w:ascii="楷体" w:hAnsi="楷体" w:eastAsia="楷体" w:cs="楷体"/>
          <w:color w:val="auto"/>
          <w:sz w:val="32"/>
          <w:szCs w:val="32"/>
          <w:lang w:val="en-US" w:eastAsia="zh-CN"/>
        </w:rPr>
        <w:t>项目实施规范性有待提高</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rPr>
        <w:t>项目</w:t>
      </w:r>
      <w:r>
        <w:rPr>
          <w:rFonts w:hint="eastAsia" w:ascii="仿宋" w:hAnsi="仿宋" w:eastAsia="仿宋" w:cs="仿宋"/>
          <w:color w:val="auto"/>
          <w:kern w:val="0"/>
          <w:sz w:val="32"/>
          <w:szCs w:val="32"/>
          <w:lang w:val="en-US" w:eastAsia="zh-CN"/>
        </w:rPr>
        <w:t>通过竞争性磋商方式确定施工单位，不符合</w:t>
      </w:r>
      <w:r>
        <w:rPr>
          <w:rFonts w:hint="eastAsia" w:ascii="仿宋" w:hAnsi="仿宋" w:eastAsia="仿宋" w:cs="仿宋"/>
          <w:color w:val="auto"/>
          <w:sz w:val="32"/>
          <w:szCs w:val="32"/>
          <w:lang w:val="en-US" w:eastAsia="zh-CN"/>
        </w:rPr>
        <w:t>政府集中采购目录实施方案的要求</w:t>
      </w:r>
      <w:r>
        <w:rPr>
          <w:rFonts w:hint="eastAsia" w:ascii="仿宋" w:hAnsi="仿宋" w:eastAsia="仿宋" w:cs="仿宋"/>
          <w:color w:val="auto"/>
          <w:kern w:val="0"/>
          <w:sz w:val="32"/>
          <w:szCs w:val="32"/>
          <w:lang w:val="en-US" w:eastAsia="zh-CN"/>
        </w:rPr>
        <w:t>。在与施工单位签订建设合同中，项目质保金的约定1.5%低于财政专项资金文件规定的5%比例。</w:t>
      </w:r>
      <w:r>
        <w:rPr>
          <w:rFonts w:hint="eastAsia" w:ascii="仿宋" w:hAnsi="仿宋" w:eastAsia="仿宋" w:cs="仿宋"/>
          <w:color w:val="auto"/>
          <w:sz w:val="32"/>
          <w:szCs w:val="32"/>
          <w:lang w:val="en-US" w:eastAsia="zh-CN"/>
        </w:rPr>
        <w:t>项目公示内容不完整，无监督举报电话等信息。项目资料不齐全，也未整理归档</w:t>
      </w:r>
      <w:r>
        <w:rPr>
          <w:rFonts w:hint="eastAsia" w:ascii="仿宋" w:hAnsi="仿宋" w:eastAsia="仿宋" w:cs="仿宋"/>
          <w:color w:val="auto"/>
          <w:kern w:val="0"/>
          <w:sz w:val="32"/>
          <w:szCs w:val="32"/>
          <w:lang w:val="en-US" w:eastAsia="zh-CN"/>
        </w:rPr>
        <w:t>。</w:t>
      </w:r>
    </w:p>
    <w:p>
      <w:pPr>
        <w:keepNext w:val="0"/>
        <w:keepLines w:val="0"/>
        <w:pageBreakBefore w:val="0"/>
        <w:kinsoku/>
        <w:wordWrap/>
        <w:overflowPunct/>
        <w:topLinePunct w:val="0"/>
        <w:autoSpaceDE/>
        <w:autoSpaceDN/>
        <w:bidi w:val="0"/>
        <w:adjustRightInd/>
        <w:snapToGrid/>
        <w:spacing w:line="500" w:lineRule="exact"/>
        <w:ind w:firstLine="414" w:firstLineChars="131"/>
        <w:textAlignment w:val="auto"/>
        <w:outlineLvl w:val="2"/>
        <w:rPr>
          <w:rFonts w:hint="default" w:ascii="楷体" w:hAnsi="楷体" w:eastAsia="楷体" w:cs="楷体"/>
          <w:color w:val="auto"/>
          <w:sz w:val="32"/>
          <w:szCs w:val="32"/>
          <w:lang w:val="en-US" w:eastAsia="zh-CN"/>
        </w:rPr>
      </w:pPr>
      <w:r>
        <w:rPr>
          <w:rFonts w:hint="eastAsia" w:ascii="楷体" w:hAnsi="楷体" w:eastAsia="楷体" w:cs="楷体"/>
          <w:color w:val="auto"/>
          <w:sz w:val="32"/>
          <w:szCs w:val="32"/>
        </w:rPr>
        <w:t>（</w:t>
      </w:r>
      <w:r>
        <w:rPr>
          <w:rFonts w:hint="eastAsia" w:ascii="楷体" w:hAnsi="楷体" w:eastAsia="楷体" w:cs="楷体"/>
          <w:color w:val="auto"/>
          <w:sz w:val="32"/>
          <w:szCs w:val="32"/>
          <w:lang w:val="en-US" w:eastAsia="zh-CN"/>
        </w:rPr>
        <w:t>四</w:t>
      </w:r>
      <w:r>
        <w:rPr>
          <w:rFonts w:hint="eastAsia" w:ascii="楷体" w:hAnsi="楷体" w:eastAsia="楷体" w:cs="楷体"/>
          <w:color w:val="auto"/>
          <w:sz w:val="32"/>
          <w:szCs w:val="32"/>
        </w:rPr>
        <w:t>）</w:t>
      </w:r>
      <w:r>
        <w:rPr>
          <w:rFonts w:hint="eastAsia" w:ascii="楷体" w:hAnsi="楷体" w:eastAsia="楷体" w:cs="楷体"/>
          <w:color w:val="auto"/>
          <w:sz w:val="32"/>
          <w:szCs w:val="32"/>
          <w:lang w:val="en-US" w:eastAsia="zh-CN"/>
        </w:rPr>
        <w:t>项目产出指标未达到目标值</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因项目增加、变更导致项目实际成本超过合同价款。项目实际工期超过目标工期，项目分项工程均已验收合格，但项目整体未及时竣工验收，且项目实际工期超过计划工期。</w:t>
      </w:r>
    </w:p>
    <w:p>
      <w:pPr>
        <w:keepNext w:val="0"/>
        <w:keepLines w:val="0"/>
        <w:pageBreakBefore w:val="0"/>
        <w:widowControl/>
        <w:suppressLineNumbers/>
        <w:kinsoku/>
        <w:wordWrap/>
        <w:overflowPunct/>
        <w:topLinePunct w:val="0"/>
        <w:autoSpaceDE/>
        <w:autoSpaceDN/>
        <w:bidi w:val="0"/>
        <w:adjustRightInd/>
        <w:snapToGrid/>
        <w:spacing w:line="500" w:lineRule="exact"/>
        <w:ind w:firstLine="632" w:firstLineChars="200"/>
        <w:jc w:val="left"/>
        <w:textAlignment w:val="auto"/>
        <w:outlineLvl w:val="1"/>
        <w:rPr>
          <w:rFonts w:ascii="黑体" w:hAnsi="黑体" w:eastAsia="黑体" w:cs="黑体"/>
          <w:bCs/>
          <w:color w:val="auto"/>
          <w:sz w:val="32"/>
          <w:szCs w:val="32"/>
        </w:rPr>
      </w:pPr>
      <w:r>
        <w:rPr>
          <w:rFonts w:hint="eastAsia" w:ascii="黑体" w:hAnsi="黑体" w:eastAsia="黑体" w:cs="黑体"/>
          <w:bCs/>
          <w:color w:val="auto"/>
          <w:sz w:val="32"/>
          <w:szCs w:val="32"/>
        </w:rPr>
        <w:t>四、结果应用建议</w:t>
      </w:r>
    </w:p>
    <w:p>
      <w:pPr>
        <w:keepNext w:val="0"/>
        <w:keepLines w:val="0"/>
        <w:pageBreakBefore w:val="0"/>
        <w:kinsoku/>
        <w:wordWrap/>
        <w:overflowPunct/>
        <w:topLinePunct w:val="0"/>
        <w:autoSpaceDE/>
        <w:autoSpaceDN/>
        <w:bidi w:val="0"/>
        <w:adjustRightInd/>
        <w:snapToGrid/>
        <w:spacing w:line="500" w:lineRule="exact"/>
        <w:ind w:firstLine="420" w:firstLineChars="133"/>
        <w:textAlignment w:val="auto"/>
        <w:rPr>
          <w:rFonts w:hint="eastAsia" w:ascii="楷体_GB2312" w:hAnsi="楷体_GB2312" w:eastAsia="楷体_GB2312" w:cs="楷体_GB2312"/>
          <w:color w:val="auto"/>
          <w:kern w:val="0"/>
          <w:sz w:val="32"/>
          <w:szCs w:val="32"/>
        </w:rPr>
      </w:pPr>
      <w:r>
        <w:rPr>
          <w:rFonts w:hint="eastAsia" w:ascii="楷体_GB2312" w:hAnsi="楷体_GB2312" w:eastAsia="楷体_GB2312" w:cs="楷体_GB2312"/>
          <w:color w:val="auto"/>
          <w:kern w:val="0"/>
          <w:sz w:val="32"/>
          <w:szCs w:val="32"/>
          <w:lang w:val="en-US" w:eastAsia="zh-CN"/>
        </w:rPr>
        <w:t>（一）合理设置</w:t>
      </w:r>
      <w:r>
        <w:rPr>
          <w:rFonts w:hint="eastAsia" w:ascii="楷体_GB2312" w:hAnsi="楷体_GB2312" w:eastAsia="楷体_GB2312" w:cs="楷体_GB2312"/>
          <w:color w:val="auto"/>
          <w:kern w:val="0"/>
          <w:sz w:val="32"/>
          <w:szCs w:val="32"/>
        </w:rPr>
        <w:t>绩效指标</w:t>
      </w:r>
    </w:p>
    <w:p>
      <w:pPr>
        <w:keepNext w:val="0"/>
        <w:keepLines w:val="0"/>
        <w:pageBreakBefore w:val="0"/>
        <w:kinsoku/>
        <w:wordWrap/>
        <w:overflowPunct/>
        <w:topLinePunct w:val="0"/>
        <w:autoSpaceDE/>
        <w:autoSpaceDN/>
        <w:bidi w:val="0"/>
        <w:adjustRightInd/>
        <w:snapToGrid/>
        <w:spacing w:line="500" w:lineRule="exact"/>
        <w:ind w:firstLine="420" w:firstLineChars="133"/>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sz w:val="32"/>
          <w:szCs w:val="32"/>
          <w:lang w:val="en-US" w:eastAsia="zh-CN"/>
        </w:rPr>
        <w:t>项目单位应通过清晰、可衡量的指标值设定各项绩效目标，</w:t>
      </w:r>
      <w:r>
        <w:rPr>
          <w:rFonts w:hint="eastAsia" w:ascii="仿宋" w:hAnsi="仿宋" w:eastAsia="仿宋" w:cs="仿宋"/>
          <w:color w:val="auto"/>
          <w:kern w:val="0"/>
          <w:sz w:val="32"/>
          <w:szCs w:val="32"/>
          <w:lang w:val="en-US" w:eastAsia="zh-CN"/>
        </w:rPr>
        <w:t>根据项目建设地点的地质条件、施工难度等因素综合考虑后合理确定工期，设定项目绩效目标，便于项目完成时对项目产出的考核、效果的评价，从而有效提高资金使用效益和项目管理水平。</w:t>
      </w:r>
    </w:p>
    <w:p>
      <w:pPr>
        <w:keepNext w:val="0"/>
        <w:keepLines w:val="0"/>
        <w:pageBreakBefore w:val="0"/>
        <w:kinsoku/>
        <w:wordWrap/>
        <w:overflowPunct/>
        <w:topLinePunct w:val="0"/>
        <w:autoSpaceDE/>
        <w:autoSpaceDN/>
        <w:bidi w:val="0"/>
        <w:adjustRightInd/>
        <w:snapToGrid/>
        <w:spacing w:line="500" w:lineRule="exact"/>
        <w:ind w:firstLine="420" w:firstLineChars="133"/>
        <w:textAlignment w:val="auto"/>
        <w:rPr>
          <w:rFonts w:hint="default" w:ascii="楷体_GB2312" w:hAnsi="楷体_GB2312" w:eastAsia="楷体_GB2312" w:cs="楷体_GB2312"/>
          <w:color w:val="auto"/>
          <w:kern w:val="0"/>
          <w:sz w:val="32"/>
          <w:szCs w:val="32"/>
          <w:lang w:val="en-US"/>
        </w:rPr>
      </w:pPr>
      <w:r>
        <w:rPr>
          <w:rFonts w:hint="eastAsia" w:ascii="楷体_GB2312" w:hAnsi="楷体_GB2312" w:eastAsia="楷体_GB2312" w:cs="楷体_GB2312"/>
          <w:color w:val="auto"/>
          <w:kern w:val="0"/>
          <w:sz w:val="32"/>
          <w:szCs w:val="32"/>
          <w:lang w:val="en-US" w:eastAsia="zh-CN"/>
        </w:rPr>
        <w:t>（二）合理、准确的开展预算编制工作</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项目实施单位根据项目建设地点的地质条件、施工难度等情况，认真、细致、准确的开展前期勘察、预算编制等工作，合理安排项目资金，对项目内各工程量进一步精细化预测，便于项目完成时对项目产出的考核、效果的评价。</w:t>
      </w:r>
    </w:p>
    <w:p>
      <w:pPr>
        <w:keepNext w:val="0"/>
        <w:keepLines w:val="0"/>
        <w:pageBreakBefore w:val="0"/>
        <w:kinsoku/>
        <w:wordWrap/>
        <w:overflowPunct/>
        <w:topLinePunct w:val="0"/>
        <w:autoSpaceDE/>
        <w:autoSpaceDN/>
        <w:bidi w:val="0"/>
        <w:adjustRightInd/>
        <w:snapToGrid/>
        <w:spacing w:line="500" w:lineRule="exact"/>
        <w:ind w:firstLine="420" w:firstLineChars="133"/>
        <w:textAlignment w:val="auto"/>
        <w:rPr>
          <w:rFonts w:hint="eastAsia" w:ascii="楷体_GB2312" w:hAnsi="楷体_GB2312" w:eastAsia="楷体_GB2312" w:cs="楷体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（三）</w:t>
      </w:r>
      <w:r>
        <w:rPr>
          <w:rFonts w:hint="eastAsia" w:ascii="楷体_GB2312" w:hAnsi="楷体_GB2312" w:eastAsia="楷体_GB2312" w:cs="楷体_GB2312"/>
          <w:color w:val="auto"/>
          <w:kern w:val="0"/>
          <w:sz w:val="32"/>
          <w:szCs w:val="32"/>
          <w:lang w:eastAsia="zh-CN"/>
        </w:rPr>
        <w:t>加强项目</w:t>
      </w:r>
      <w:r>
        <w:rPr>
          <w:rFonts w:hint="eastAsia" w:ascii="楷体_GB2312" w:hAnsi="楷体_GB2312" w:eastAsia="楷体_GB2312" w:cs="楷体_GB2312"/>
          <w:color w:val="auto"/>
          <w:kern w:val="0"/>
          <w:sz w:val="32"/>
          <w:szCs w:val="32"/>
          <w:lang w:val="en-US" w:eastAsia="zh-CN"/>
        </w:rPr>
        <w:t>实施</w:t>
      </w:r>
      <w:r>
        <w:rPr>
          <w:rFonts w:hint="eastAsia" w:ascii="楷体_GB2312" w:hAnsi="楷体_GB2312" w:eastAsia="楷体_GB2312" w:cs="楷体_GB2312"/>
          <w:color w:val="auto"/>
          <w:kern w:val="0"/>
          <w:sz w:val="32"/>
          <w:szCs w:val="32"/>
          <w:lang w:eastAsia="zh-CN"/>
        </w:rPr>
        <w:t>管理</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根据财政专项资金要求，在建设合同签订时预留5%的项</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目质保金。准确、完整、全面、及时的公示项目资金情况，接受群众和社会监督。项目档案实行单独归档、专人管理，根据项目档案管理规定进行收集、整理、归档、保管，保持档案的真实性、完整性，为项目建设、验收、绩效评价等提供服务。</w:t>
      </w:r>
    </w:p>
    <w:p>
      <w:pPr>
        <w:keepNext w:val="0"/>
        <w:keepLines w:val="0"/>
        <w:pageBreakBefore w:val="0"/>
        <w:kinsoku/>
        <w:wordWrap/>
        <w:overflowPunct/>
        <w:topLinePunct w:val="0"/>
        <w:autoSpaceDE/>
        <w:autoSpaceDN/>
        <w:bidi w:val="0"/>
        <w:adjustRightInd/>
        <w:snapToGrid/>
        <w:spacing w:line="500" w:lineRule="exact"/>
        <w:ind w:firstLine="420" w:firstLineChars="133"/>
        <w:textAlignment w:val="auto"/>
        <w:rPr>
          <w:rFonts w:hint="eastAsia" w:ascii="楷体_GB2312" w:hAnsi="楷体_GB2312" w:eastAsia="楷体_GB2312" w:cs="楷体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（四）加强对项目绩效目标执行的监督和检查</w:t>
      </w:r>
    </w:p>
    <w:p>
      <w:pPr>
        <w:keepNext w:val="0"/>
        <w:keepLines w:val="0"/>
        <w:pageBreakBefore w:val="0"/>
        <w:kinsoku/>
        <w:wordWrap/>
        <w:overflowPunct/>
        <w:topLinePunct w:val="0"/>
        <w:autoSpaceDE/>
        <w:autoSpaceDN/>
        <w:bidi w:val="0"/>
        <w:adjustRightInd/>
        <w:snapToGrid/>
        <w:spacing w:line="500" w:lineRule="exact"/>
        <w:ind w:firstLine="632"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实施单位应严格按照项目绩效目标以及合同约定实施，建立违约惩罚机制，对因不可抗力因素或客观原因影响项目实施进度的，应客观分析、作好记录、探索对策，确保项目按期完成。</w:t>
      </w:r>
    </w:p>
    <w:p>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附表：2022年度云峰村中药材加工项目项目绩效评价得分表</w:t>
      </w:r>
    </w:p>
    <w:tbl>
      <w:tblPr>
        <w:tblStyle w:val="11"/>
        <w:tblW w:w="10616" w:type="dxa"/>
        <w:tblInd w:w="-65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23"/>
        <w:gridCol w:w="381"/>
        <w:gridCol w:w="508"/>
        <w:gridCol w:w="2238"/>
        <w:gridCol w:w="4050"/>
        <w:gridCol w:w="780"/>
        <w:gridCol w:w="986"/>
        <w:gridCol w:w="13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1" w:hRule="atLeast"/>
        </w:trPr>
        <w:tc>
          <w:tcPr>
            <w:tcW w:w="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一级指标</w:t>
            </w: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二级指标</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三级指标</w:t>
            </w: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指标解释</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评分标准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分值</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评价得分</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决策</w:t>
            </w:r>
          </w:p>
        </w:tc>
        <w:tc>
          <w:tcPr>
            <w:tcW w:w="3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项目立项</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调查研究</w:t>
            </w: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考察项目决策环节，为了解项目实施的必要性和可行性而开展的调查研究实施是否全面、详实。对政府专项项目，调研研究主要考察专项下各子项设立的决策分析是否扎实。</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①项目前期结合项目实施内容和范围开展了必要的调查研究，得2分；②取得的调查数据详实、真实，具有代表性，与项目内容高度相关，得2分。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1"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3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规划设计</w:t>
            </w: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考察项目实施单位对拟实施项目的规划设计方案是否科学、高效。</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规划设计充分体现项目实施的必要性和迫切性，得1分；②项目规划设计充分考虑现实的可行性，包括政策的、技术的、市场的可行性等，得1分；③项目规划设计体现成本效益最大化，方案能够考虑财政承受能力、可持续发展，科学合理确定政府采购需求，体现厉行节约的思想，得1分；④项目规划设计能够说明资金渠道及各类资金来源，能够体现资金来源的可靠性和安全性，得1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6"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3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评估论证</w:t>
            </w: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考察项目立项或确立环节的评估论证是否科学、规范、有效。</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①经过部门以上级别组织的集体决策或评估论证，程序合法合规，得2分；②组织专家、专业机构开展行之有效的评估论证，获得比较客观、公正、准确的结论，得2分。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7"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绩效 目标</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项目绩效目标</w:t>
            </w: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考察项目绩效目标设置是否科学、准确、规范。</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绩效目标设置比较全面、规范、准确，得1分；②绩效指标设计能充分体现重要性、相关性原则，得1分；③绩效指标设计能充分体现成本效益最大化原则，得1分；④绩效指标值设置有科学依据，既要符合客观实际，又要体现适度增长，得1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未设置项目质量指标、时效指标设定不合理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4"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3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资金 投入</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预算编制</w:t>
            </w: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预算编制是否合理、规范。一是支出内容是否合理，是否与项目工作内容和绩效目标高度相关；二是预算明细是否详尽清晰，是否能对每一项支出分解到最小单元（数量*单价）；三是数量和单价的测算依据来源是否可信可靠。</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支出内容合理，与项目工作内容和绩效目标高度相关，得1分；②项目预算明细表详尽清晰，对每一项支出能够分解到最小单元（数量*单价），得1分；③项目预算所依据的标准合理合规，如所需数量和单价确定的依据来源可靠，得1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预算确定的工程量及投资额与实际不匹配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3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预算分配</w:t>
            </w: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考察预算分配程序是否公平、公开、公正。预算分配包括区域之间的分配、子项目之间的分配。</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①项目预算资金分配遵循严格规范的程序，确保公开、公正，得1分；②分配的标准统一、公平、合理，得1分。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如不涉及资金分配，本项默认满分。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4" w:hRule="atLeast"/>
        </w:trPr>
        <w:tc>
          <w:tcPr>
            <w:tcW w:w="3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过程</w:t>
            </w:r>
          </w:p>
        </w:tc>
        <w:tc>
          <w:tcPr>
            <w:tcW w:w="3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业务</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管理</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管理措施</w:t>
            </w: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考察项目实施单位的业务管理制度是否规范、全面、有效。</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①项目业务管理制度制定全面，得1分；②为项目建设配套了管理机构、人员等支撑，得1分；③建立了保障项目顺利实施的工作机制，得1分。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3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项目实施</w:t>
            </w: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考察项目实施单位项目实施是否符合实施方案或相关管理规定要求。</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招投标、采购、建设、验收等严格执行方案要求或相关制度规定，政府采购项目全过程信息公开，得1分；②项目的设立及调整按规定履行报批程序，得1分；③项目资金公示内容完整、明晰、细化，并公布监督举报电话，得1分；④建设项目施工合同书、验收报告、成果等资料是否齐全、准确并及时归档，得1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项目质保金1.5%低于财政专项资金文件规定的5%，项目未公示监督举报电话等信息。项目资料不齐全，也未整理归档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2"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3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监督评价</w:t>
            </w: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考察项目实施单位保障项目质量要求采取的措施是否及时、有效。</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为保障项目质量，项目实施过程中，采取有效的监督、检查等控制措施或手段，得1分；②项目实施完毕后，组织专家或专业机构进行考核验收，政府采购项目规范开展履约验收，得1分；③能够按时完成绩效自评，并能够客观真实的反映成绩和问题，得1分；④对比上一年度绩效评价、审计、巡视巡查反映情况与今年项目实施情况，按时整改到位，按要求报送绩效评价整改情况的，得1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3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财务           管理</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使用合法性</w:t>
            </w: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考察资金拨付、使用是否合法、合规。</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①资金拨付有完整的审批程序和手续，政府采购项目按照规定支付预付款、进度款和结算款，得2分；②资金专款专用，无挤占、挪用、虚列支出等情况，得2分。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（如20%及以上的项目资金支出与项目预算内容无关，则绩效评价得分整体扣40分）。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4"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3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资金使用率</w:t>
            </w: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通过资金使用率考察预算单位预算编制准确性和项目执行力度。</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财政拨付的预算资金90%及以上使用得4分；80%及以上得3分；70%及以上得2分；70%（不含）以下不得分。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资金使用率100%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14" w:hRule="atLeast"/>
        </w:trPr>
        <w:tc>
          <w:tcPr>
            <w:tcW w:w="3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产出</w:t>
            </w: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数量 指标</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实际完成率</w:t>
            </w: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反映和考核项目产出数量目标的实现程度。</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实际完成率=（实际产出数/计划产出数）×100%</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实际产出数：一定时期（本年度或项目期）内杨林桥镇云峰中药材收储项目建设完成数量。</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计划产出数：项目绩效目标确定的在一定时期内（本年度或项目期）内杨林桥镇云峰中药材收储项目建设计划数量。                            数量指标：新建中药材收储厂房2948.48㎡，得10分，实际产出数量减少1%扣1分，扣完为止。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质量 指标</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质量达标率</w:t>
            </w: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反映和考核项目产出质量目标的实现程度。</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质量达标率=（质量达标产出数/实际产出数）×100%</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质量达标产出数：一定时期（本年度或项目期）内实际达到质量标准的工程和项目。</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项目分项、整体工程质量、验收合格率均达到100%，得10分；项目分项工程验收合格、但项目整体因客观原因未及时竣工验收合格得8份；否则不得分；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8</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项目分项工程均已验收合格，但项目整体未及时竣工验收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6"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时效 指标</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时效达标率</w:t>
            </w: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反映和考核项目产出时效目标的实现程度。</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实际完成时间：项目开工、验收、资金拨付实际所耗用的时间。</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计划完成时间：项目开工、验收、资金拨付约定的完成时间。</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①项目按时开工率达到100%，得2分；低于100%的，按比例得分；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②项目按时竣工验收率达到100%，得5分；低于100%的，按比例得分；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③项目资金按时拨付率达到100%，得3分；低于100%的，按比例得分。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目标设定工期为90天，实际工期9个月超过90天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3"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成本 指标</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成本节约率</w:t>
            </w: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完成项目计划工作目标的实际节约成本与计划成本的比率，用以反映和考核项目的成本节约程度。</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成本节约率=[(计划成本-实际成本)/计划成本]×100%</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实际成本：项目实施单位如期、保质、保量完成既定工作目标实际所耗费的支出。</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计划成本：项目实施单位为完成工作目标计划安排的支出，以项目预算为参考。</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成本节约率大于等于0，得10分；因项目增加、变更导致项目超支10%以内扣5分，否则不得分。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项目结算金额4799855.2元，合同价款436.50万元，超出比例9.96%，超支原因系因项目增加、变更导致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trPr>
        <w:tc>
          <w:tcPr>
            <w:tcW w:w="3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效益</w:t>
            </w:r>
          </w:p>
        </w:tc>
        <w:tc>
          <w:tcPr>
            <w:tcW w:w="3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实施效益及满意度</w:t>
            </w: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经济效益</w:t>
            </w: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项目实施对经济发展所带来的直接或间接影响情况。</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①服务全镇5291.78亩中药材种植，得2.5分，否则得0分；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②为附近村民提供工作岗位，增加村民经济收入，得2.5分，否则得0分。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3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社会效益</w:t>
            </w: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项目实施对社会发展所带来的直接或间接影响情况。</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项目实施后惠及本镇200余户600余人，其中脱贫户60余户130余人，得5分；200户＜受益人群≥180户，按比例得分，否则不得分；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3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可持续影响</w:t>
            </w: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项目后续运行及成效发挥的可持续影响情况。</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带动群众发展中药材产业，吸纳务工人员，增加就业岗位，提高中草药产业经济效益，拉动中草药产业整体升级发展，构建现代中草药产业体系，得5分；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9"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3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满意度</w:t>
            </w: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受益人群对项目实施效果的满意程度。</w:t>
            </w:r>
          </w:p>
        </w:tc>
        <w:tc>
          <w:tcPr>
            <w:tcW w:w="4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采取问卷调查的方式，调查了解因项目实施而受到影响的社会群众对项目实施效果的满意程度，以调查得分按比例计分，满意度达95%得5分，94%≤满意度≥80%按比例得分，小于80%不得分。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满意度为97%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9" w:hRule="atLeast"/>
        </w:trPr>
        <w:tc>
          <w:tcPr>
            <w:tcW w:w="121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评价总分</w:t>
            </w:r>
          </w:p>
        </w:tc>
        <w:tc>
          <w:tcPr>
            <w:tcW w:w="22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b/>
                <w:bCs/>
                <w:i w:val="0"/>
                <w:iCs w:val="0"/>
                <w:color w:val="000000"/>
                <w:sz w:val="16"/>
                <w:szCs w:val="16"/>
                <w:u w:val="none"/>
              </w:rPr>
            </w:pPr>
          </w:p>
        </w:tc>
        <w:tc>
          <w:tcPr>
            <w:tcW w:w="4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b/>
                <w:bCs/>
                <w:i w:val="0"/>
                <w:iCs w:val="0"/>
                <w:color w:val="000000"/>
                <w:sz w:val="16"/>
                <w:szCs w:val="16"/>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100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84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b/>
                <w:bCs/>
                <w:i w:val="0"/>
                <w:iCs w:val="0"/>
                <w:color w:val="000000"/>
                <w:sz w:val="15"/>
                <w:szCs w:val="15"/>
                <w:u w:val="none"/>
              </w:rPr>
            </w:pPr>
          </w:p>
        </w:tc>
      </w:tr>
    </w:tbl>
    <w:p>
      <w:pPr>
        <w:keepNext w:val="0"/>
        <w:keepLines w:val="0"/>
        <w:pageBreakBefore w:val="0"/>
        <w:widowControl/>
        <w:kinsoku/>
        <w:wordWrap/>
        <w:overflowPunct/>
        <w:topLinePunct w:val="0"/>
        <w:autoSpaceDE/>
        <w:autoSpaceDN/>
        <w:bidi w:val="0"/>
        <w:adjustRightInd/>
        <w:snapToGrid/>
        <w:spacing w:line="560" w:lineRule="exact"/>
        <w:ind w:firstLine="632"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仿宋" w:hAnsi="仿宋" w:eastAsia="仿宋" w:cs="仿宋"/>
          <w:color w:val="auto"/>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仿宋_GB2312" w:hAnsi="仿宋_GB2312" w:eastAsia="仿宋_GB2312" w:cs="仿宋_GB2312"/>
          <w:color w:val="auto"/>
          <w:sz w:val="44"/>
          <w:szCs w:val="44"/>
          <w:lang w:val="en-US" w:eastAsia="zh-CN"/>
        </w:rPr>
      </w:pPr>
      <w:r>
        <w:rPr>
          <w:rFonts w:hint="eastAsia" w:ascii="仿宋_GB2312" w:hAnsi="仿宋_GB2312" w:eastAsia="仿宋_GB2312" w:cs="仿宋_GB2312"/>
          <w:color w:val="auto"/>
          <w:sz w:val="44"/>
          <w:szCs w:val="44"/>
          <w:lang w:val="en-US" w:eastAsia="zh-CN"/>
        </w:rPr>
        <w:t>附件五</w:t>
      </w: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color w:val="auto"/>
          <w:kern w:val="2"/>
          <w:sz w:val="44"/>
          <w:szCs w:val="44"/>
          <w:lang w:val="en-US" w:eastAsia="zh-CN" w:bidi="ar-SA"/>
        </w:rPr>
      </w:pPr>
      <w:r>
        <w:rPr>
          <w:rFonts w:hint="eastAsia" w:ascii="方正小标宋简体" w:hAnsi="方正小标宋简体" w:eastAsia="方正小标宋简体" w:cs="方正小标宋简体"/>
          <w:color w:val="auto"/>
          <w:kern w:val="2"/>
          <w:sz w:val="44"/>
          <w:szCs w:val="44"/>
          <w:lang w:val="en-US" w:eastAsia="zh-CN" w:bidi="ar-SA"/>
        </w:rPr>
        <w:t>2022年度社会养老服务体系建设项目</w:t>
      </w: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color w:val="auto"/>
          <w:kern w:val="2"/>
          <w:sz w:val="44"/>
          <w:szCs w:val="44"/>
          <w:lang w:val="en-US" w:eastAsia="zh-CN" w:bidi="ar-SA"/>
        </w:rPr>
      </w:pPr>
      <w:r>
        <w:rPr>
          <w:rFonts w:hint="eastAsia" w:ascii="方正小标宋简体" w:hAnsi="方正小标宋简体" w:eastAsia="方正小标宋简体" w:cs="方正小标宋简体"/>
          <w:color w:val="auto"/>
          <w:kern w:val="2"/>
          <w:sz w:val="44"/>
          <w:szCs w:val="44"/>
          <w:lang w:val="en-US" w:eastAsia="zh-CN" w:bidi="ar-SA"/>
        </w:rPr>
        <w:t>财政评价结果</w:t>
      </w:r>
    </w:p>
    <w:p>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default"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00" w:lineRule="exact"/>
        <w:ind w:firstLine="632" w:firstLineChars="200"/>
        <w:jc w:val="both"/>
        <w:textAlignment w:val="auto"/>
        <w:outlineLvl w:val="2"/>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一、评分结果</w:t>
      </w:r>
    </w:p>
    <w:p>
      <w:pPr>
        <w:keepNext w:val="0"/>
        <w:keepLines w:val="0"/>
        <w:pageBreakBefore w:val="0"/>
        <w:widowControl/>
        <w:kinsoku/>
        <w:wordWrap/>
        <w:overflowPunct/>
        <w:topLinePunct w:val="0"/>
        <w:autoSpaceDE/>
        <w:autoSpaceDN/>
        <w:bidi w:val="0"/>
        <w:adjustRightInd/>
        <w:snapToGrid/>
        <w:spacing w:line="500" w:lineRule="exact"/>
        <w:ind w:firstLine="632" w:firstLineChars="200"/>
        <w:jc w:val="both"/>
        <w:textAlignment w:val="auto"/>
        <w:rPr>
          <w:rFonts w:hint="eastAsia" w:ascii="仿宋" w:hAnsi="仿宋" w:eastAsia="仿宋" w:cs="仿宋"/>
          <w:color w:val="auto"/>
          <w:sz w:val="32"/>
          <w:szCs w:val="32"/>
          <w:lang w:val="en-US" w:eastAsia="zh-CN"/>
        </w:rPr>
      </w:pPr>
      <w:r>
        <w:rPr>
          <w:rFonts w:hint="eastAsia" w:ascii="仿宋_GB2312" w:hAnsi="仿宋" w:eastAsia="仿宋_GB2312"/>
          <w:sz w:val="32"/>
          <w:szCs w:val="32"/>
          <w:lang w:val="en-US" w:eastAsia="zh-CN"/>
        </w:rPr>
        <w:t>秭归县2022年度社会养老服务体系建设项目评价结果</w:t>
      </w:r>
      <w:r>
        <w:rPr>
          <w:rFonts w:hint="eastAsia" w:ascii="仿宋_GB2312" w:hAnsi="仿宋" w:eastAsia="仿宋_GB2312"/>
          <w:color w:val="auto"/>
          <w:sz w:val="32"/>
          <w:szCs w:val="32"/>
          <w:lang w:val="en-US" w:eastAsia="zh-CN"/>
        </w:rPr>
        <w:t>为89.35分，评分等级为良。</w:t>
      </w:r>
    </w:p>
    <w:p>
      <w:pPr>
        <w:keepNext w:val="0"/>
        <w:keepLines w:val="0"/>
        <w:pageBreakBefore w:val="0"/>
        <w:widowControl w:val="0"/>
        <w:kinsoku/>
        <w:wordWrap/>
        <w:overflowPunct/>
        <w:topLinePunct w:val="0"/>
        <w:autoSpaceDE/>
        <w:autoSpaceDN/>
        <w:bidi w:val="0"/>
        <w:adjustRightInd/>
        <w:snapToGrid/>
        <w:spacing w:line="500" w:lineRule="exact"/>
        <w:ind w:firstLine="670" w:firstLineChars="212"/>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lang w:val="en-US" w:eastAsia="zh-CN"/>
        </w:rPr>
        <w:t>其中：</w:t>
      </w:r>
      <w:r>
        <w:rPr>
          <w:rFonts w:hint="eastAsia" w:ascii="仿宋_GB2312" w:hAnsi="仿宋" w:eastAsia="仿宋_GB2312"/>
          <w:sz w:val="32"/>
          <w:szCs w:val="32"/>
          <w:lang w:val="en-US" w:eastAsia="zh-CN"/>
        </w:rPr>
        <w:t>项目决策标准</w:t>
      </w:r>
      <w:r>
        <w:rPr>
          <w:rFonts w:hint="eastAsia" w:ascii="仿宋_GB2312" w:hAnsi="仿宋" w:eastAsia="仿宋_GB2312"/>
          <w:color w:val="auto"/>
          <w:sz w:val="32"/>
          <w:szCs w:val="32"/>
          <w:lang w:val="en-US" w:eastAsia="zh-CN"/>
        </w:rPr>
        <w:t>分22分，得分22分，</w:t>
      </w:r>
      <w:r>
        <w:rPr>
          <w:rFonts w:hint="eastAsia" w:ascii="仿宋" w:hAnsi="仿宋" w:eastAsia="仿宋" w:cs="仿宋"/>
          <w:color w:val="auto"/>
          <w:sz w:val="32"/>
          <w:szCs w:val="32"/>
          <w:lang w:val="en-US" w:eastAsia="zh-CN"/>
        </w:rPr>
        <w:t>项目决策合规但未对项目预期产出效益设定绩效目标、绩效指标不够量化明确、且预算指标与项目资金量不匹配；</w:t>
      </w:r>
      <w:r>
        <w:rPr>
          <w:rFonts w:hint="eastAsia" w:ascii="仿宋" w:hAnsi="仿宋" w:eastAsia="仿宋" w:cs="仿宋_GB2312"/>
          <w:color w:val="000000"/>
          <w:szCs w:val="32"/>
        </w:rPr>
        <w:t>项目过程标准分</w:t>
      </w:r>
      <w:r>
        <w:rPr>
          <w:rFonts w:hint="eastAsia" w:ascii="仿宋" w:hAnsi="仿宋" w:eastAsia="仿宋" w:cs="仿宋_GB2312"/>
          <w:color w:val="000000"/>
          <w:szCs w:val="32"/>
          <w:lang w:val="en-US" w:eastAsia="zh-CN"/>
        </w:rPr>
        <w:t>18</w:t>
      </w:r>
      <w:r>
        <w:rPr>
          <w:rFonts w:hint="eastAsia" w:ascii="仿宋" w:hAnsi="仿宋" w:eastAsia="仿宋" w:cs="仿宋_GB2312"/>
          <w:color w:val="000000"/>
          <w:szCs w:val="32"/>
        </w:rPr>
        <w:t>分，评价得分</w:t>
      </w:r>
      <w:r>
        <w:rPr>
          <w:rFonts w:hint="eastAsia" w:ascii="仿宋" w:hAnsi="仿宋" w:eastAsia="仿宋" w:cs="仿宋_GB2312"/>
          <w:color w:val="000000"/>
          <w:szCs w:val="32"/>
          <w:lang w:val="en-US" w:eastAsia="zh-CN"/>
        </w:rPr>
        <w:t>13</w:t>
      </w:r>
      <w:r>
        <w:rPr>
          <w:rFonts w:hint="eastAsia" w:ascii="仿宋" w:hAnsi="仿宋" w:eastAsia="仿宋" w:cs="仿宋_GB2312"/>
          <w:color w:val="000000"/>
          <w:szCs w:val="32"/>
        </w:rPr>
        <w:t>分</w:t>
      </w:r>
      <w:r>
        <w:rPr>
          <w:rFonts w:hint="eastAsia" w:ascii="仿宋" w:hAnsi="仿宋" w:eastAsia="仿宋" w:cs="仿宋_GB2312"/>
          <w:color w:val="000000"/>
          <w:szCs w:val="32"/>
          <w:highlight w:val="none"/>
          <w:lang w:eastAsia="zh-CN"/>
        </w:rPr>
        <w:t>，</w:t>
      </w:r>
      <w:r>
        <w:rPr>
          <w:rFonts w:hint="eastAsia" w:ascii="仿宋" w:hAnsi="仿宋" w:eastAsia="仿宋" w:cs="仿宋"/>
          <w:color w:val="auto"/>
          <w:sz w:val="32"/>
          <w:szCs w:val="32"/>
          <w:highlight w:val="none"/>
          <w:lang w:val="en-US" w:eastAsia="zh-CN"/>
        </w:rPr>
        <w:t>主要扣分原因为项目实施单位的业务管理制度未做到全面、规范，项目资金未做到专款专用；</w:t>
      </w:r>
      <w:r>
        <w:rPr>
          <w:rFonts w:hint="eastAsia" w:ascii="仿宋" w:hAnsi="仿宋" w:eastAsia="仿宋" w:cs="仿宋_GB2312"/>
          <w:color w:val="000000"/>
          <w:szCs w:val="32"/>
          <w:highlight w:val="none"/>
        </w:rPr>
        <w:t>项目产出标准分</w:t>
      </w:r>
      <w:r>
        <w:rPr>
          <w:rFonts w:ascii="仿宋" w:hAnsi="仿宋" w:eastAsia="仿宋" w:cs="仿宋_GB2312"/>
          <w:color w:val="000000"/>
          <w:szCs w:val="32"/>
          <w:highlight w:val="none"/>
        </w:rPr>
        <w:t>4</w:t>
      </w:r>
      <w:r>
        <w:rPr>
          <w:rFonts w:hint="eastAsia" w:ascii="仿宋" w:hAnsi="仿宋" w:eastAsia="仿宋" w:cs="仿宋_GB2312"/>
          <w:color w:val="000000"/>
          <w:szCs w:val="32"/>
          <w:highlight w:val="none"/>
          <w:lang w:val="en-US" w:eastAsia="zh-CN"/>
        </w:rPr>
        <w:t>5</w:t>
      </w:r>
      <w:r>
        <w:rPr>
          <w:rFonts w:hint="eastAsia" w:ascii="仿宋" w:hAnsi="仿宋" w:eastAsia="仿宋" w:cs="仿宋_GB2312"/>
          <w:color w:val="000000"/>
          <w:szCs w:val="32"/>
          <w:highlight w:val="none"/>
        </w:rPr>
        <w:t>分，评价得分</w:t>
      </w:r>
      <w:r>
        <w:rPr>
          <w:rFonts w:hint="eastAsia" w:ascii="仿宋" w:hAnsi="仿宋" w:eastAsia="仿宋" w:cs="仿宋_GB2312"/>
          <w:color w:val="000000"/>
          <w:szCs w:val="32"/>
          <w:highlight w:val="none"/>
          <w:lang w:val="en-US" w:eastAsia="zh-CN"/>
        </w:rPr>
        <w:t>39.35</w:t>
      </w:r>
      <w:r>
        <w:rPr>
          <w:rFonts w:hint="eastAsia" w:ascii="仿宋" w:hAnsi="仿宋" w:eastAsia="仿宋" w:cs="仿宋_GB2312"/>
          <w:color w:val="000000"/>
          <w:szCs w:val="32"/>
          <w:highlight w:val="none"/>
        </w:rPr>
        <w:t>分</w:t>
      </w:r>
      <w:r>
        <w:rPr>
          <w:rFonts w:hint="eastAsia" w:ascii="仿宋" w:hAnsi="仿宋" w:eastAsia="仿宋" w:cs="仿宋_GB2312"/>
          <w:color w:val="000000"/>
          <w:szCs w:val="32"/>
          <w:highlight w:val="none"/>
          <w:lang w:eastAsia="zh-CN"/>
        </w:rPr>
        <w:t>，</w:t>
      </w:r>
      <w:r>
        <w:rPr>
          <w:rFonts w:hint="eastAsia" w:ascii="仿宋" w:hAnsi="仿宋" w:eastAsia="仿宋" w:cs="仿宋"/>
          <w:color w:val="auto"/>
          <w:sz w:val="32"/>
          <w:szCs w:val="32"/>
          <w:highlight w:val="none"/>
          <w:lang w:val="en-US" w:eastAsia="zh-CN"/>
        </w:rPr>
        <w:t>主要扣分原因为未完成绩效目标，资金使用率超过100%；</w:t>
      </w:r>
      <w:r>
        <w:rPr>
          <w:rFonts w:hint="eastAsia" w:ascii="仿宋" w:hAnsi="仿宋" w:eastAsia="仿宋" w:cs="仿宋_GB2312"/>
          <w:color w:val="000000"/>
          <w:szCs w:val="32"/>
          <w:highlight w:val="none"/>
        </w:rPr>
        <w:t>效果指标标准分</w:t>
      </w:r>
      <w:r>
        <w:rPr>
          <w:rFonts w:hint="eastAsia" w:ascii="仿宋" w:hAnsi="仿宋" w:eastAsia="仿宋" w:cs="仿宋_GB2312"/>
          <w:color w:val="000000"/>
          <w:szCs w:val="32"/>
          <w:highlight w:val="none"/>
          <w:lang w:val="en-US" w:eastAsia="zh-CN"/>
        </w:rPr>
        <w:t>15</w:t>
      </w:r>
      <w:r>
        <w:rPr>
          <w:rFonts w:hint="eastAsia" w:ascii="仿宋" w:hAnsi="仿宋" w:eastAsia="仿宋" w:cs="仿宋_GB2312"/>
          <w:color w:val="000000"/>
          <w:szCs w:val="32"/>
          <w:highlight w:val="none"/>
        </w:rPr>
        <w:t>分，</w:t>
      </w:r>
      <w:r>
        <w:rPr>
          <w:rFonts w:hint="eastAsia" w:ascii="仿宋" w:hAnsi="仿宋" w:eastAsia="仿宋" w:cs="楷体"/>
          <w:color w:val="000000"/>
          <w:szCs w:val="32"/>
          <w:highlight w:val="none"/>
        </w:rPr>
        <w:t>评价</w:t>
      </w:r>
      <w:r>
        <w:rPr>
          <w:rFonts w:hint="eastAsia" w:ascii="仿宋" w:hAnsi="仿宋" w:eastAsia="仿宋" w:cs="仿宋_GB2312"/>
          <w:color w:val="000000"/>
          <w:szCs w:val="32"/>
          <w:highlight w:val="none"/>
        </w:rPr>
        <w:t>得分</w:t>
      </w:r>
      <w:r>
        <w:rPr>
          <w:rFonts w:hint="eastAsia" w:ascii="仿宋" w:hAnsi="仿宋" w:eastAsia="仿宋" w:cs="仿宋_GB2312"/>
          <w:color w:val="000000"/>
          <w:szCs w:val="32"/>
          <w:highlight w:val="none"/>
          <w:lang w:val="en-US" w:eastAsia="zh-CN"/>
        </w:rPr>
        <w:t>15</w:t>
      </w:r>
      <w:r>
        <w:rPr>
          <w:rFonts w:hint="eastAsia" w:ascii="仿宋" w:hAnsi="仿宋" w:eastAsia="仿宋" w:cs="仿宋_GB2312"/>
          <w:color w:val="000000"/>
          <w:szCs w:val="32"/>
          <w:highlight w:val="none"/>
        </w:rPr>
        <w:t>分</w:t>
      </w:r>
      <w:r>
        <w:rPr>
          <w:rFonts w:hint="eastAsia" w:ascii="仿宋" w:hAnsi="仿宋" w:eastAsia="仿宋" w:cs="仿宋"/>
          <w:color w:val="auto"/>
          <w:sz w:val="32"/>
          <w:szCs w:val="32"/>
          <w:highlight w:val="none"/>
          <w:lang w:val="en-US" w:eastAsia="zh-CN"/>
        </w:rPr>
        <w:t>，效果显著且满意度高。</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00" w:lineRule="exact"/>
        <w:ind w:firstLine="632" w:firstLineChars="200"/>
        <w:jc w:val="both"/>
        <w:textAlignment w:val="auto"/>
        <w:outlineLvl w:val="2"/>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二、绩效目标完成情况分析</w:t>
      </w:r>
    </w:p>
    <w:p>
      <w:pPr>
        <w:keepNext w:val="0"/>
        <w:keepLines w:val="0"/>
        <w:pageBreakBefore w:val="0"/>
        <w:widowControl w:val="0"/>
        <w:tabs>
          <w:tab w:val="left" w:pos="1276"/>
        </w:tabs>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s="仿宋"/>
          <w:color w:val="auto"/>
          <w:sz w:val="32"/>
          <w:szCs w:val="32"/>
          <w:lang w:val="en-US" w:eastAsia="zh-CN"/>
        </w:rPr>
      </w:pPr>
      <w:r>
        <w:rPr>
          <w:rFonts w:hint="eastAsia" w:ascii="仿宋_GB2312" w:hAnsi="仿宋" w:eastAsia="仿宋_GB2312"/>
          <w:sz w:val="32"/>
          <w:szCs w:val="32"/>
          <w:lang w:val="en-US" w:eastAsia="zh-CN"/>
        </w:rPr>
        <w:t>本次绩效评价对象为秭归县民政局负责实施的秭归县2022年度社会养老服务体系建设项目，涉及使用省级民政一般性转移支付资金1,360,000.00元。评价组从预算项目决策、过程、产出及效果等4个方面对秭归县2022年度社会养老服务体系建设项目情况进行评价分析。本次评价重点为项目产出和效果，评价组对项目实施内容进行了实地查看及电话调查。</w:t>
      </w:r>
      <w:r>
        <w:rPr>
          <w:rFonts w:hint="eastAsia" w:ascii="仿宋" w:hAnsi="仿宋" w:eastAsia="仿宋" w:cs="仿宋"/>
          <w:color w:val="auto"/>
          <w:sz w:val="32"/>
          <w:szCs w:val="32"/>
          <w:lang w:val="en-US" w:eastAsia="zh-CN"/>
        </w:rPr>
        <w:t>综合评价为良。</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00" w:lineRule="exact"/>
        <w:ind w:firstLine="632" w:firstLineChars="200"/>
        <w:jc w:val="both"/>
        <w:textAlignment w:val="auto"/>
        <w:outlineLvl w:val="2"/>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三、存在的问题和原因</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ascii="仿宋" w:hAnsi="仿宋" w:eastAsia="仿宋" w:cs="仿宋_GB2312"/>
          <w:color w:val="000000"/>
          <w:kern w:val="0"/>
          <w:szCs w:val="32"/>
        </w:rPr>
      </w:pPr>
      <w:r>
        <w:rPr>
          <w:rFonts w:hint="eastAsia" w:ascii="仿宋" w:hAnsi="仿宋" w:eastAsia="仿宋" w:cs="仿宋_GB2312"/>
          <w:color w:val="000000"/>
          <w:kern w:val="0"/>
          <w:szCs w:val="32"/>
        </w:rPr>
        <w:t>1</w:t>
      </w:r>
      <w:r>
        <w:rPr>
          <w:rFonts w:ascii="仿宋" w:hAnsi="仿宋" w:eastAsia="仿宋" w:cs="仿宋_GB2312"/>
          <w:color w:val="000000"/>
          <w:kern w:val="0"/>
          <w:szCs w:val="32"/>
        </w:rPr>
        <w:t>.</w:t>
      </w:r>
      <w:r>
        <w:rPr>
          <w:rFonts w:hint="eastAsia" w:ascii="仿宋" w:hAnsi="仿宋" w:eastAsia="仿宋" w:cs="仿宋_GB2312"/>
          <w:color w:val="000000"/>
          <w:kern w:val="0"/>
          <w:szCs w:val="32"/>
        </w:rPr>
        <w:t>项目未制</w:t>
      </w:r>
      <w:r>
        <w:rPr>
          <w:rFonts w:hint="eastAsia" w:ascii="仿宋" w:hAnsi="仿宋" w:eastAsia="仿宋" w:cs="仿宋_GB2312"/>
          <w:color w:val="auto"/>
          <w:kern w:val="0"/>
          <w:szCs w:val="32"/>
        </w:rPr>
        <w:t>定项目分类业</w:t>
      </w:r>
      <w:r>
        <w:rPr>
          <w:rFonts w:hint="eastAsia" w:ascii="仿宋" w:hAnsi="仿宋" w:eastAsia="仿宋" w:cs="仿宋_GB2312"/>
          <w:color w:val="000000"/>
          <w:kern w:val="0"/>
          <w:szCs w:val="32"/>
        </w:rPr>
        <w:t>务管理制度</w:t>
      </w:r>
      <w:r>
        <w:rPr>
          <w:rFonts w:hint="eastAsia" w:ascii="仿宋" w:hAnsi="仿宋" w:eastAsia="仿宋" w:cs="仿宋_GB2312"/>
          <w:color w:val="000000"/>
          <w:kern w:val="0"/>
          <w:szCs w:val="32"/>
          <w:lang w:val="en-US" w:eastAsia="zh-CN"/>
        </w:rPr>
        <w:t>；单位未通过相关媒介主动向社会公开项目基本情况、资金使用进度、督查及审计结果、接受投诉等信息。</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ascii="仿宋" w:hAnsi="仿宋" w:eastAsia="仿宋" w:cs="仿宋_GB2312"/>
          <w:color w:val="000000"/>
          <w:kern w:val="0"/>
          <w:szCs w:val="32"/>
        </w:rPr>
      </w:pPr>
      <w:r>
        <w:rPr>
          <w:rFonts w:hint="eastAsia" w:ascii="仿宋" w:hAnsi="仿宋" w:eastAsia="仿宋" w:cs="仿宋_GB2312"/>
          <w:color w:val="000000"/>
          <w:kern w:val="0"/>
          <w:szCs w:val="32"/>
        </w:rPr>
        <w:t>2</w:t>
      </w:r>
      <w:r>
        <w:rPr>
          <w:rFonts w:ascii="仿宋" w:hAnsi="仿宋" w:eastAsia="仿宋" w:cs="仿宋_GB2312"/>
          <w:color w:val="000000"/>
          <w:kern w:val="0"/>
          <w:szCs w:val="32"/>
        </w:rPr>
        <w:t>.</w:t>
      </w:r>
      <w:r>
        <w:rPr>
          <w:rFonts w:hint="eastAsia" w:ascii="仿宋" w:hAnsi="仿宋" w:eastAsia="仿宋" w:cs="仿宋_GB2312"/>
          <w:color w:val="000000"/>
          <w:kern w:val="0"/>
          <w:szCs w:val="32"/>
          <w:lang w:val="en-US" w:eastAsia="zh-CN"/>
        </w:rPr>
        <w:t>项目资金使用未做到合法、合</w:t>
      </w:r>
      <w:r>
        <w:rPr>
          <w:rFonts w:hint="eastAsia" w:ascii="仿宋" w:hAnsi="仿宋" w:eastAsia="仿宋" w:cs="仿宋_GB2312"/>
          <w:color w:val="auto"/>
          <w:kern w:val="0"/>
          <w:szCs w:val="32"/>
          <w:lang w:val="en-US" w:eastAsia="zh-CN"/>
        </w:rPr>
        <w:t>规，</w:t>
      </w:r>
      <w:r>
        <w:rPr>
          <w:rFonts w:hint="eastAsia" w:ascii="仿宋" w:hAnsi="仿宋" w:eastAsia="仿宋" w:cs="仿宋_GB2312"/>
          <w:color w:val="auto"/>
          <w:kern w:val="0"/>
          <w:szCs w:val="32"/>
        </w:rPr>
        <w:t>有59,030.00元实际</w:t>
      </w:r>
      <w:r>
        <w:rPr>
          <w:rFonts w:hint="eastAsia" w:ascii="仿宋" w:hAnsi="仿宋" w:eastAsia="仿宋" w:cs="仿宋_GB2312"/>
          <w:color w:val="000000"/>
          <w:kern w:val="0"/>
          <w:szCs w:val="32"/>
        </w:rPr>
        <w:t>使用其他资金支出</w:t>
      </w:r>
      <w:r>
        <w:rPr>
          <w:rFonts w:hint="eastAsia" w:ascii="仿宋" w:hAnsi="仿宋" w:eastAsia="仿宋" w:cs="仿宋_GB2312"/>
          <w:color w:val="000000"/>
          <w:kern w:val="0"/>
          <w:szCs w:val="32"/>
          <w:lang w:val="en-US" w:eastAsia="zh-CN"/>
        </w:rPr>
        <w:t>，有42,263.00元支出与绩效目标无关内容。</w:t>
      </w:r>
    </w:p>
    <w:p>
      <w:pPr>
        <w:keepNext w:val="0"/>
        <w:keepLines w:val="0"/>
        <w:pageBreakBefore w:val="0"/>
        <w:widowControl w:val="0"/>
        <w:tabs>
          <w:tab w:val="left" w:pos="567"/>
        </w:tabs>
        <w:kinsoku/>
        <w:wordWrap/>
        <w:overflowPunct/>
        <w:topLinePunct w:val="0"/>
        <w:autoSpaceDE/>
        <w:autoSpaceDN/>
        <w:bidi w:val="0"/>
        <w:adjustRightInd/>
        <w:snapToGrid/>
        <w:spacing w:line="500" w:lineRule="exact"/>
        <w:ind w:right="-518" w:rightChars="-164" w:firstLine="641" w:firstLineChars="203"/>
        <w:textAlignment w:val="auto"/>
        <w:outlineLvl w:val="0"/>
        <w:rPr>
          <w:rFonts w:hint="eastAsia" w:ascii="仿宋" w:hAnsi="仿宋" w:eastAsia="仿宋" w:cs="仿宋_GB2312"/>
          <w:color w:val="000000"/>
          <w:kern w:val="0"/>
          <w:szCs w:val="32"/>
          <w:lang w:val="en-US" w:eastAsia="zh-CN"/>
        </w:rPr>
      </w:pPr>
      <w:r>
        <w:rPr>
          <w:rFonts w:hint="eastAsia" w:ascii="仿宋" w:hAnsi="仿宋" w:eastAsia="仿宋" w:cs="仿宋_GB2312"/>
          <w:color w:val="000000"/>
          <w:kern w:val="0"/>
          <w:szCs w:val="32"/>
          <w:lang w:val="en-US" w:eastAsia="zh-CN"/>
        </w:rPr>
        <w:t>3</w:t>
      </w:r>
      <w:r>
        <w:rPr>
          <w:rFonts w:ascii="仿宋" w:hAnsi="仿宋" w:eastAsia="仿宋" w:cs="仿宋_GB2312"/>
          <w:color w:val="000000"/>
          <w:kern w:val="0"/>
          <w:szCs w:val="32"/>
        </w:rPr>
        <w:t>.</w:t>
      </w:r>
      <w:r>
        <w:rPr>
          <w:rFonts w:hint="eastAsia" w:ascii="仿宋" w:hAnsi="仿宋" w:eastAsia="仿宋" w:cs="仿宋_GB2312"/>
          <w:color w:val="000000"/>
          <w:kern w:val="0"/>
          <w:szCs w:val="32"/>
          <w:lang w:val="en-US" w:eastAsia="zh-CN"/>
        </w:rPr>
        <w:t>单位未严格控制项目成本，资金使用率超过100%。</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00" w:lineRule="exact"/>
        <w:ind w:firstLine="632" w:firstLineChars="200"/>
        <w:jc w:val="both"/>
        <w:textAlignment w:val="auto"/>
        <w:outlineLvl w:val="2"/>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四、结果拟应用建议</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s="仿宋_GB2312"/>
          <w:color w:val="000000"/>
          <w:kern w:val="0"/>
          <w:szCs w:val="32"/>
        </w:rPr>
      </w:pPr>
      <w:bookmarkStart w:id="1" w:name="_Toc118025995"/>
      <w:r>
        <w:rPr>
          <w:rFonts w:hint="eastAsia" w:ascii="仿宋" w:hAnsi="仿宋" w:eastAsia="仿宋" w:cs="仿宋_GB2312"/>
          <w:color w:val="auto"/>
          <w:kern w:val="0"/>
          <w:szCs w:val="32"/>
          <w:lang w:val="en-US" w:eastAsia="zh-CN"/>
        </w:rPr>
        <w:t>1.</w:t>
      </w:r>
      <w:r>
        <w:rPr>
          <w:rFonts w:hint="eastAsia" w:ascii="仿宋" w:hAnsi="仿宋" w:eastAsia="仿宋" w:cs="仿宋_GB2312"/>
          <w:color w:val="auto"/>
          <w:kern w:val="0"/>
          <w:szCs w:val="32"/>
        </w:rPr>
        <w:t>单位应分层分类制订项目业务管理制度，按照年初</w:t>
      </w:r>
      <w:r>
        <w:rPr>
          <w:rFonts w:hint="eastAsia" w:ascii="仿宋" w:hAnsi="仿宋" w:eastAsia="仿宋" w:cs="仿宋_GB2312"/>
          <w:color w:val="000000"/>
          <w:kern w:val="0"/>
          <w:szCs w:val="32"/>
        </w:rPr>
        <w:t>预算，秉持着合理、节约、高效的原则，统筹安排各项支出，提高资金使用效率。</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s="仿宋_GB2312"/>
          <w:color w:val="000000"/>
          <w:kern w:val="0"/>
          <w:szCs w:val="32"/>
          <w:lang w:val="en-US" w:eastAsia="zh-CN"/>
        </w:rPr>
      </w:pPr>
      <w:r>
        <w:rPr>
          <w:rFonts w:hint="eastAsia" w:ascii="仿宋" w:hAnsi="仿宋" w:eastAsia="仿宋" w:cs="仿宋_GB2312"/>
          <w:color w:val="000000"/>
          <w:kern w:val="0"/>
          <w:szCs w:val="32"/>
          <w:lang w:val="en-US" w:eastAsia="zh-CN"/>
        </w:rPr>
        <w:t>2</w:t>
      </w:r>
      <w:r>
        <w:rPr>
          <w:rFonts w:ascii="仿宋" w:hAnsi="仿宋" w:eastAsia="仿宋" w:cs="仿宋_GB2312"/>
          <w:color w:val="000000"/>
          <w:kern w:val="0"/>
          <w:szCs w:val="32"/>
        </w:rPr>
        <w:t>.</w:t>
      </w:r>
      <w:r>
        <w:rPr>
          <w:rFonts w:hint="eastAsia" w:ascii="仿宋" w:hAnsi="仿宋" w:eastAsia="仿宋" w:cs="仿宋_GB2312"/>
          <w:color w:val="000000"/>
          <w:kern w:val="0"/>
          <w:szCs w:val="32"/>
          <w:lang w:val="en-US" w:eastAsia="zh-CN"/>
        </w:rPr>
        <w:t>单位应加强学习《民政部彩票公益金使用管理办法》，确保项目资金使用合法、合规；同时，结合项目实际情况，参考制订单位的专项资金使用办法。</w:t>
      </w:r>
      <w:bookmarkEnd w:id="1"/>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hint="default" w:ascii="仿宋" w:hAnsi="仿宋" w:eastAsia="仿宋" w:cs="仿宋_GB2312"/>
          <w:color w:val="000000"/>
          <w:kern w:val="0"/>
          <w:szCs w:val="32"/>
          <w:lang w:val="en-US" w:eastAsia="zh-CN"/>
        </w:rPr>
      </w:pPr>
      <w:r>
        <w:rPr>
          <w:rFonts w:hint="eastAsia" w:ascii="仿宋" w:hAnsi="仿宋" w:eastAsia="仿宋" w:cs="仿宋_GB2312"/>
          <w:color w:val="000000"/>
          <w:kern w:val="0"/>
          <w:szCs w:val="32"/>
          <w:lang w:val="en-US" w:eastAsia="zh-CN"/>
        </w:rPr>
        <w:t>3</w:t>
      </w:r>
      <w:r>
        <w:rPr>
          <w:rFonts w:ascii="仿宋" w:hAnsi="仿宋" w:eastAsia="仿宋" w:cs="仿宋_GB2312"/>
          <w:color w:val="000000"/>
          <w:kern w:val="0"/>
          <w:szCs w:val="32"/>
        </w:rPr>
        <w:t>.</w:t>
      </w:r>
      <w:r>
        <w:rPr>
          <w:rFonts w:hint="eastAsia" w:ascii="仿宋" w:hAnsi="仿宋" w:eastAsia="仿宋" w:cs="仿宋_GB2312"/>
          <w:color w:val="000000"/>
          <w:kern w:val="0"/>
          <w:szCs w:val="32"/>
          <w:lang w:val="en-US" w:eastAsia="zh-CN"/>
        </w:rPr>
        <w:t>单位应加强对专项资金的使用管理，完善内部监督机制；提高财务人员的专业知识水平和工作能力，强化专项资金被挤占挪用的防范意识，规范单位财务运行。</w:t>
      </w:r>
    </w:p>
    <w:p>
      <w:pPr>
        <w:keepNext w:val="0"/>
        <w:keepLines w:val="0"/>
        <w:pageBreakBefore w:val="0"/>
        <w:numPr>
          <w:ilvl w:val="0"/>
          <w:numId w:val="0"/>
        </w:numPr>
        <w:kinsoku/>
        <w:wordWrap/>
        <w:overflowPunct/>
        <w:topLinePunct w:val="0"/>
        <w:autoSpaceDE/>
        <w:autoSpaceDN/>
        <w:bidi w:val="0"/>
        <w:adjustRightInd/>
        <w:snapToGrid/>
        <w:spacing w:line="500" w:lineRule="exact"/>
        <w:ind w:firstLine="632" w:firstLineChars="200"/>
        <w:jc w:val="left"/>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附表：2022年度社会养老服务体系项目绩效评价得分表</w:t>
      </w:r>
    </w:p>
    <w:tbl>
      <w:tblPr>
        <w:tblStyle w:val="11"/>
        <w:tblW w:w="10800" w:type="dxa"/>
        <w:tblInd w:w="-7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03"/>
        <w:gridCol w:w="531"/>
        <w:gridCol w:w="923"/>
        <w:gridCol w:w="416"/>
        <w:gridCol w:w="2480"/>
        <w:gridCol w:w="3058"/>
        <w:gridCol w:w="554"/>
        <w:gridCol w:w="611"/>
        <w:gridCol w:w="18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一级指标</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二级指标</w:t>
            </w: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三级指标</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指标值</w:t>
            </w: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指标解释</w:t>
            </w:r>
          </w:p>
        </w:tc>
        <w:tc>
          <w:tcPr>
            <w:tcW w:w="3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评分标准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分值</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评价得分</w:t>
            </w: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4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决策</w:t>
            </w:r>
          </w:p>
        </w:tc>
        <w:tc>
          <w:tcPr>
            <w:tcW w:w="5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项目立项</w:t>
            </w: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立项依据充分性</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充分</w:t>
            </w: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项目立项是否符合法律法规、相关政策、发展规划以及部门职责，用以反映和考核项目立项依据情况。</w:t>
            </w:r>
          </w:p>
        </w:tc>
        <w:tc>
          <w:tcPr>
            <w:tcW w:w="3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①项目立项是否符合国家法律法规、国民经济发展规划和相关政策，得2分；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②项目立项是否与部门职责范围相符，属于部门履职所需，得2分。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7" w:hRule="atLeast"/>
        </w:trPr>
        <w:tc>
          <w:tcPr>
            <w:tcW w:w="4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6"/>
                <w:szCs w:val="16"/>
                <w:u w:val="none"/>
              </w:rPr>
            </w:pPr>
          </w:p>
        </w:tc>
        <w:tc>
          <w:tcPr>
            <w:tcW w:w="5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立项程序规范性</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规范</w:t>
            </w: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项目申请、设立过程是否符合相关要求，用以反映和考核项目立项的规范情况。</w:t>
            </w:r>
          </w:p>
        </w:tc>
        <w:tc>
          <w:tcPr>
            <w:tcW w:w="3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①项目是否按照规定的程序申请设立，得2分；②审批文件、材料是否符合相关要求，得2分。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0" w:hRule="atLeast"/>
        </w:trPr>
        <w:tc>
          <w:tcPr>
            <w:tcW w:w="4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6"/>
                <w:szCs w:val="16"/>
                <w:u w:val="none"/>
              </w:rPr>
            </w:pPr>
          </w:p>
        </w:tc>
        <w:tc>
          <w:tcPr>
            <w:tcW w:w="531" w:type="dxa"/>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绩效目标</w:t>
            </w: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绩效目标合理性</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科学、准确</w:t>
            </w: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项目所设定的绩效目标是否依据充分，是否符合客观实际，用以反映和考核项目绩效目标与项目实施的相符情况。</w:t>
            </w:r>
          </w:p>
        </w:tc>
        <w:tc>
          <w:tcPr>
            <w:tcW w:w="3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①项目绩效目标与实际工作内容是否具有相关性，得2分；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②是否与预算确定的项目资金量相匹配，得2分。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1" w:hRule="atLeast"/>
        </w:trPr>
        <w:tc>
          <w:tcPr>
            <w:tcW w:w="4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6"/>
                <w:szCs w:val="16"/>
                <w:u w:val="none"/>
              </w:rPr>
            </w:pPr>
          </w:p>
        </w:tc>
        <w:tc>
          <w:tcPr>
            <w:tcW w:w="531" w:type="dxa"/>
            <w:vMerge w:val="continue"/>
            <w:tcBorders>
              <w:top w:val="nil"/>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绩效指标明确性</w:t>
            </w:r>
          </w:p>
        </w:tc>
        <w:tc>
          <w:tcPr>
            <w:tcW w:w="4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清晰、细化、可衡量</w:t>
            </w: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依据绩效目标设定的绩效指标是否清晰、细化、可衡量等，用以反映和考核项目绩效目标的明细化情况。</w:t>
            </w:r>
          </w:p>
        </w:tc>
        <w:tc>
          <w:tcPr>
            <w:tcW w:w="3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①是否将项目绩效目标细化分解为具体的绩效指标，得2分；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②是否通过清晰、可衡量的指标值予以体现，得2分；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3" w:hRule="atLeast"/>
        </w:trPr>
        <w:tc>
          <w:tcPr>
            <w:tcW w:w="4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6"/>
                <w:szCs w:val="16"/>
                <w:u w:val="none"/>
              </w:rPr>
            </w:pPr>
          </w:p>
        </w:tc>
        <w:tc>
          <w:tcPr>
            <w:tcW w:w="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资金投入</w:t>
            </w:r>
          </w:p>
        </w:tc>
        <w:tc>
          <w:tcPr>
            <w:tcW w:w="9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预算编制</w:t>
            </w:r>
          </w:p>
        </w:tc>
        <w:tc>
          <w:tcPr>
            <w:tcW w:w="4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合理、规范</w:t>
            </w: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预算编制是否合理、规范。一是支出内容是否合理，是否与项目工作内容和绩效目标高度相关；二是预算明细是否详尽清晰，是否能对每一项支出分解到最小单元（数量*单价）；三是数量和单价的测算依据来源是否可信可靠。</w:t>
            </w:r>
          </w:p>
        </w:tc>
        <w:tc>
          <w:tcPr>
            <w:tcW w:w="3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支出内容合理，与项目工作内容和绩效目标高度相关，得2分；②项目预算明细表详尽清晰，对每一项支出能够分解到最小单元（数量*单价），得1分；③项目预算所依据的标准合理合规，如所需数量和单价确定的依据来源可靠，得1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6"/>
                <w:szCs w:val="16"/>
                <w:u w:val="none"/>
              </w:rPr>
            </w:pPr>
          </w:p>
        </w:tc>
        <w:tc>
          <w:tcPr>
            <w:tcW w:w="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9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预算分配</w:t>
            </w:r>
          </w:p>
        </w:tc>
        <w:tc>
          <w:tcPr>
            <w:tcW w:w="4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公平、公开、公正</w:t>
            </w: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考察预算分配程序是否公平、公开、公正。预算分配包括区域之间的分配、子项目之间的分配。</w:t>
            </w:r>
          </w:p>
        </w:tc>
        <w:tc>
          <w:tcPr>
            <w:tcW w:w="3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①项目预算资金分配遵循严格规范的程序，确保公开、公正，得1分；②分配的标准统一、公平、合理，得1分。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如不涉及资金分配，本项默认满分。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1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4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过程</w:t>
            </w:r>
          </w:p>
        </w:tc>
        <w:tc>
          <w:tcPr>
            <w:tcW w:w="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业务</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管理</w:t>
            </w:r>
          </w:p>
        </w:tc>
        <w:tc>
          <w:tcPr>
            <w:tcW w:w="9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管理措施</w:t>
            </w:r>
          </w:p>
        </w:tc>
        <w:tc>
          <w:tcPr>
            <w:tcW w:w="4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规范、全面、有效</w:t>
            </w: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考察项目实施单位的业务管理制度是否规范、全面、有效。</w:t>
            </w:r>
          </w:p>
        </w:tc>
        <w:tc>
          <w:tcPr>
            <w:tcW w:w="3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①项目业务管理制度制定全面，得1分；②为项目建设配套了管理机构、人员等支撑，建立了保障项目顺利实施的工作机制，得1分。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w:t>
            </w: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未制定项目分类业务管理制度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4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6"/>
                <w:szCs w:val="16"/>
                <w:u w:val="none"/>
              </w:rPr>
            </w:pPr>
          </w:p>
        </w:tc>
        <w:tc>
          <w:tcPr>
            <w:tcW w:w="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9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项目实施</w:t>
            </w:r>
          </w:p>
        </w:tc>
        <w:tc>
          <w:tcPr>
            <w:tcW w:w="4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符合</w:t>
            </w: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考察项目实施单位项目实施是否符合实施方案或相关管理规定要求。</w:t>
            </w:r>
          </w:p>
        </w:tc>
        <w:tc>
          <w:tcPr>
            <w:tcW w:w="3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①项目招投标、采购、验收等严格执行相关制度规定，政府采购项目全过程信息公开，得2分；②项目的设立按规定履行报批程序，得2分。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5" w:hRule="atLeast"/>
        </w:trPr>
        <w:tc>
          <w:tcPr>
            <w:tcW w:w="4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6"/>
                <w:szCs w:val="16"/>
                <w:u w:val="none"/>
              </w:rPr>
            </w:pPr>
          </w:p>
        </w:tc>
        <w:tc>
          <w:tcPr>
            <w:tcW w:w="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9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监督评价</w:t>
            </w:r>
          </w:p>
        </w:tc>
        <w:tc>
          <w:tcPr>
            <w:tcW w:w="4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及时、有效</w:t>
            </w: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考察项目实施单位保障项目质量要求采取的措施是否及时、有效。</w:t>
            </w:r>
          </w:p>
        </w:tc>
        <w:tc>
          <w:tcPr>
            <w:tcW w:w="3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①通过相关媒介主动向社会公开项目基本情况、资金使用、督查及审计结果、接受投诉等信息，得2分；②项目实施完毕后，组织相关人员进行考核验收，政府采购项目规范开展履约验收，得2分。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未通过相关媒介主动向社会公开项目基本情况、资金使用、督查及审计结果、接受投诉等信息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33" w:hRule="atLeast"/>
        </w:trPr>
        <w:tc>
          <w:tcPr>
            <w:tcW w:w="4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6"/>
                <w:szCs w:val="16"/>
                <w:u w:val="none"/>
              </w:rPr>
            </w:pPr>
          </w:p>
        </w:tc>
        <w:tc>
          <w:tcPr>
            <w:tcW w:w="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财务           管理</w:t>
            </w:r>
          </w:p>
        </w:tc>
        <w:tc>
          <w:tcPr>
            <w:tcW w:w="9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资金使用合法性</w:t>
            </w:r>
          </w:p>
        </w:tc>
        <w:tc>
          <w:tcPr>
            <w:tcW w:w="4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合法、合规</w:t>
            </w: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考察资金拨付、使用是否合法、合规。</w:t>
            </w:r>
          </w:p>
        </w:tc>
        <w:tc>
          <w:tcPr>
            <w:tcW w:w="3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①资金拨付有完整的审批程序和手续，按照规定支付各款项，得2分；②资金专款专用，无挤占、挪用、虚列支出等情况，得2分。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（如20%及以上的项目资金支出与项目预算内容无关，则绩效评价得分整体扣40分）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适老化改造项目（茅坪）有59030元从其他资金中支出，采购空调项目有5100元从农村福利院老人住房室内取暖省级补助资金中支出，用该项目资金支出2023年部分养老机构责任保险42263元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2" w:hRule="atLeast"/>
        </w:trPr>
        <w:tc>
          <w:tcPr>
            <w:tcW w:w="4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6"/>
                <w:szCs w:val="16"/>
                <w:u w:val="none"/>
              </w:rPr>
            </w:pPr>
          </w:p>
        </w:tc>
        <w:tc>
          <w:tcPr>
            <w:tcW w:w="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9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资金使用率</w:t>
            </w:r>
          </w:p>
        </w:tc>
        <w:tc>
          <w:tcPr>
            <w:tcW w:w="4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95%</w:t>
            </w: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通过资金使用率考察预算单位预算编制准确性和项目执行力度。</w:t>
            </w:r>
          </w:p>
        </w:tc>
        <w:tc>
          <w:tcPr>
            <w:tcW w:w="3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财政拨付的预算资金95%及以上使用得4分；90%及以上得3分；80%及以上得2分；80%（不含）以下不得分。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5" w:hRule="atLeast"/>
        </w:trPr>
        <w:tc>
          <w:tcPr>
            <w:tcW w:w="4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w:t>
            </w:r>
          </w:p>
        </w:tc>
        <w:tc>
          <w:tcPr>
            <w:tcW w:w="531" w:type="dxa"/>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数量指标</w:t>
            </w:r>
          </w:p>
        </w:tc>
        <w:tc>
          <w:tcPr>
            <w:tcW w:w="9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运营补贴受益民办养老机构</w:t>
            </w:r>
          </w:p>
        </w:tc>
        <w:tc>
          <w:tcPr>
            <w:tcW w:w="4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1家</w:t>
            </w:r>
          </w:p>
        </w:tc>
        <w:tc>
          <w:tcPr>
            <w:tcW w:w="2480"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反映预期提供的公共产品和服务数量，如“务工农民岗位技能培训人数”、“公共租赁住房保障户数”等。（数量指标名称，一般是“动词+名词+量词”的结构，例如“培训-人-数”“保障-户-数”。）</w:t>
            </w:r>
          </w:p>
        </w:tc>
        <w:tc>
          <w:tcPr>
            <w:tcW w:w="30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①如果指标为xx率，那么评价标准应为：得分=xx率*指标分值；注意：资金超支率是特殊情况，得分=（1-超支率）*指标分值。</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②如果指标为xx场次、xx面积，那么评价标准应为：得分=实际值/目标值*指标分值；</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③如果是定性指标，评价标准定性处理，如“根据2022年xx情况相比2021年改善情况酌情给分”（体现增量效果）。</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1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4" w:hRule="atLeast"/>
        </w:trPr>
        <w:tc>
          <w:tcPr>
            <w:tcW w:w="4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6"/>
                <w:szCs w:val="16"/>
                <w:u w:val="none"/>
              </w:rPr>
            </w:pPr>
          </w:p>
        </w:tc>
        <w:tc>
          <w:tcPr>
            <w:tcW w:w="531" w:type="dxa"/>
            <w:vMerge w:val="continue"/>
            <w:tcBorders>
              <w:top w:val="single" w:color="000000" w:sz="4" w:space="0"/>
              <w:left w:val="single" w:color="000000" w:sz="4" w:space="0"/>
              <w:bottom w:val="nil"/>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9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适老化改造户数</w:t>
            </w:r>
          </w:p>
        </w:tc>
        <w:tc>
          <w:tcPr>
            <w:tcW w:w="4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221户</w:t>
            </w:r>
          </w:p>
        </w:tc>
        <w:tc>
          <w:tcPr>
            <w:tcW w:w="2480"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30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1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4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6"/>
                <w:szCs w:val="16"/>
                <w:u w:val="none"/>
              </w:rPr>
            </w:pPr>
          </w:p>
        </w:tc>
        <w:tc>
          <w:tcPr>
            <w:tcW w:w="531" w:type="dxa"/>
            <w:vMerge w:val="continue"/>
            <w:tcBorders>
              <w:top w:val="single" w:color="000000" w:sz="4" w:space="0"/>
              <w:left w:val="single" w:color="000000" w:sz="4" w:space="0"/>
              <w:bottom w:val="nil"/>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9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护理员培训人数</w:t>
            </w:r>
          </w:p>
        </w:tc>
        <w:tc>
          <w:tcPr>
            <w:tcW w:w="4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200人</w:t>
            </w:r>
          </w:p>
        </w:tc>
        <w:tc>
          <w:tcPr>
            <w:tcW w:w="2480"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30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4.35</w:t>
            </w:r>
          </w:p>
        </w:tc>
        <w:tc>
          <w:tcPr>
            <w:tcW w:w="1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实际培训人数174人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4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6"/>
                <w:szCs w:val="16"/>
                <w:u w:val="none"/>
              </w:rPr>
            </w:pPr>
          </w:p>
        </w:tc>
        <w:tc>
          <w:tcPr>
            <w:tcW w:w="531" w:type="dxa"/>
            <w:vMerge w:val="continue"/>
            <w:tcBorders>
              <w:top w:val="single" w:color="000000" w:sz="4" w:space="0"/>
              <w:left w:val="single" w:color="000000" w:sz="4" w:space="0"/>
              <w:bottom w:val="nil"/>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9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补充安装空调</w:t>
            </w:r>
          </w:p>
        </w:tc>
        <w:tc>
          <w:tcPr>
            <w:tcW w:w="4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24台</w:t>
            </w:r>
          </w:p>
        </w:tc>
        <w:tc>
          <w:tcPr>
            <w:tcW w:w="2480"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30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1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trPr>
        <w:tc>
          <w:tcPr>
            <w:tcW w:w="4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6"/>
                <w:szCs w:val="16"/>
                <w:u w:val="none"/>
              </w:rPr>
            </w:pPr>
          </w:p>
        </w:tc>
        <w:tc>
          <w:tcPr>
            <w:tcW w:w="531" w:type="dxa"/>
            <w:tcBorders>
              <w:top w:val="nil"/>
              <w:left w:val="single" w:color="000000" w:sz="4" w:space="0"/>
              <w:bottom w:val="nil"/>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9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购买床位责任险</w:t>
            </w:r>
          </w:p>
        </w:tc>
        <w:tc>
          <w:tcPr>
            <w:tcW w:w="4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750张</w:t>
            </w:r>
          </w:p>
        </w:tc>
        <w:tc>
          <w:tcPr>
            <w:tcW w:w="2480" w:type="dxa"/>
            <w:tcBorders>
              <w:top w:val="nil"/>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30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1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6"/>
                <w:szCs w:val="16"/>
                <w:u w:val="none"/>
              </w:rPr>
            </w:pPr>
          </w:p>
        </w:tc>
        <w:tc>
          <w:tcPr>
            <w:tcW w:w="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质量指标</w:t>
            </w:r>
          </w:p>
        </w:tc>
        <w:tc>
          <w:tcPr>
            <w:tcW w:w="9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工作任务及时完成率</w:t>
            </w:r>
          </w:p>
        </w:tc>
        <w:tc>
          <w:tcPr>
            <w:tcW w:w="4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≥90%</w:t>
            </w:r>
          </w:p>
        </w:tc>
        <w:tc>
          <w:tcPr>
            <w:tcW w:w="2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反映预期提供的公共产品和服务达到的标准、水平和效果，如“培训合格率”、“公共租赁住房建设验收通过率”等。</w:t>
            </w:r>
          </w:p>
        </w:tc>
        <w:tc>
          <w:tcPr>
            <w:tcW w:w="30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1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trPr>
        <w:tc>
          <w:tcPr>
            <w:tcW w:w="4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6"/>
                <w:szCs w:val="16"/>
                <w:u w:val="none"/>
              </w:rPr>
            </w:pPr>
          </w:p>
        </w:tc>
        <w:tc>
          <w:tcPr>
            <w:tcW w:w="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15"/>
                <w:szCs w:val="15"/>
                <w:u w:val="none"/>
              </w:rPr>
            </w:pPr>
          </w:p>
        </w:tc>
        <w:tc>
          <w:tcPr>
            <w:tcW w:w="9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适老化改造项目合格率</w:t>
            </w:r>
          </w:p>
        </w:tc>
        <w:tc>
          <w:tcPr>
            <w:tcW w:w="4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≥95%</w:t>
            </w:r>
          </w:p>
        </w:tc>
        <w:tc>
          <w:tcPr>
            <w:tcW w:w="2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30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1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5" w:hRule="atLeast"/>
        </w:trPr>
        <w:tc>
          <w:tcPr>
            <w:tcW w:w="4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6"/>
                <w:szCs w:val="16"/>
                <w:u w:val="none"/>
              </w:rPr>
            </w:pPr>
          </w:p>
        </w:tc>
        <w:tc>
          <w:tcPr>
            <w:tcW w:w="5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时效指标</w:t>
            </w:r>
          </w:p>
        </w:tc>
        <w:tc>
          <w:tcPr>
            <w:tcW w:w="9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资金拨付及时率</w:t>
            </w:r>
          </w:p>
        </w:tc>
        <w:tc>
          <w:tcPr>
            <w:tcW w:w="4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按时拨付</w:t>
            </w: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反映预期提供公共产品和服务的及时程度和效率情况，如“培训完成时间”、“补贴发放时间”等。</w:t>
            </w:r>
          </w:p>
        </w:tc>
        <w:tc>
          <w:tcPr>
            <w:tcW w:w="30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1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4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6"/>
                <w:szCs w:val="16"/>
                <w:u w:val="none"/>
              </w:rPr>
            </w:pPr>
          </w:p>
        </w:tc>
        <w:tc>
          <w:tcPr>
            <w:tcW w:w="531" w:type="dxa"/>
            <w:tcBorders>
              <w:top w:val="single" w:color="000000" w:sz="4" w:space="0"/>
              <w:left w:val="single" w:color="000000" w:sz="4" w:space="0"/>
              <w:bottom w:val="single" w:color="auto"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成本指标</w:t>
            </w:r>
          </w:p>
        </w:tc>
        <w:tc>
          <w:tcPr>
            <w:tcW w:w="923" w:type="dxa"/>
            <w:tcBorders>
              <w:top w:val="single" w:color="000000" w:sz="4" w:space="0"/>
              <w:left w:val="single" w:color="000000" w:sz="4" w:space="0"/>
              <w:bottom w:val="single" w:color="auto"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预算控制率</w:t>
            </w:r>
          </w:p>
        </w:tc>
        <w:tc>
          <w:tcPr>
            <w:tcW w:w="416" w:type="dxa"/>
            <w:tcBorders>
              <w:top w:val="single" w:color="000000" w:sz="4" w:space="0"/>
              <w:left w:val="single" w:color="000000" w:sz="4" w:space="0"/>
              <w:bottom w:val="single" w:color="auto"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≤100%</w:t>
            </w:r>
          </w:p>
        </w:tc>
        <w:tc>
          <w:tcPr>
            <w:tcW w:w="248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反映预期提供公共产品和服务所需成本的控制情况，体现达到同等效益的成本最小化。如：“政府采购资金节约率”等。</w:t>
            </w:r>
          </w:p>
        </w:tc>
        <w:tc>
          <w:tcPr>
            <w:tcW w:w="30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w:t>
            </w:r>
          </w:p>
        </w:tc>
        <w:tc>
          <w:tcPr>
            <w:tcW w:w="1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预算资金1360000元，调整后实际支出1376767.00元，资金使用率101.23%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03" w:type="dxa"/>
            <w:vMerge w:val="restar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效果</w:t>
            </w:r>
          </w:p>
        </w:tc>
        <w:tc>
          <w:tcPr>
            <w:tcW w:w="531"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社会效益</w:t>
            </w:r>
          </w:p>
        </w:tc>
        <w:tc>
          <w:tcPr>
            <w:tcW w:w="92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老年人幸福指数</w:t>
            </w:r>
          </w:p>
        </w:tc>
        <w:tc>
          <w:tcPr>
            <w:tcW w:w="416"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明显提高</w:t>
            </w:r>
          </w:p>
        </w:tc>
        <w:tc>
          <w:tcPr>
            <w:tcW w:w="24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反映相关产出对社会发展带来的影响和效果，如“带动就业增长率”、“低收入家庭居住条件改善情况”“政府采购面向中小企业采购额”“政府采购支持乡村产业振兴执行情况”等。</w:t>
            </w:r>
          </w:p>
        </w:tc>
        <w:tc>
          <w:tcPr>
            <w:tcW w:w="3058"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1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403"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6"/>
                <w:szCs w:val="16"/>
                <w:u w:val="none"/>
              </w:rPr>
            </w:pPr>
          </w:p>
        </w:tc>
        <w:tc>
          <w:tcPr>
            <w:tcW w:w="531"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可持续影响</w:t>
            </w:r>
          </w:p>
        </w:tc>
        <w:tc>
          <w:tcPr>
            <w:tcW w:w="92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提升养老机构服务能力</w:t>
            </w:r>
          </w:p>
        </w:tc>
        <w:tc>
          <w:tcPr>
            <w:tcW w:w="416"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逐步提升</w:t>
            </w:r>
          </w:p>
        </w:tc>
        <w:tc>
          <w:tcPr>
            <w:tcW w:w="24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反映相关产出带来影响的可持续期限，如“项目持续发挥作用的期限”、“对本行业未来可持续发展的影响”等。</w:t>
            </w:r>
          </w:p>
        </w:tc>
        <w:tc>
          <w:tcPr>
            <w:tcW w:w="3058"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1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4" w:hRule="atLeast"/>
        </w:trPr>
        <w:tc>
          <w:tcPr>
            <w:tcW w:w="403"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6"/>
                <w:szCs w:val="16"/>
                <w:u w:val="none"/>
              </w:rPr>
            </w:pPr>
          </w:p>
        </w:tc>
        <w:tc>
          <w:tcPr>
            <w:tcW w:w="531"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满意度</w:t>
            </w:r>
          </w:p>
        </w:tc>
        <w:tc>
          <w:tcPr>
            <w:tcW w:w="92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受益群众对项目实施效果的满意程度。</w:t>
            </w:r>
          </w:p>
        </w:tc>
        <w:tc>
          <w:tcPr>
            <w:tcW w:w="416"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≥95%</w:t>
            </w:r>
          </w:p>
        </w:tc>
        <w:tc>
          <w:tcPr>
            <w:tcW w:w="24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反应收益群众对项目实施效果的满意度</w:t>
            </w:r>
          </w:p>
        </w:tc>
        <w:tc>
          <w:tcPr>
            <w:tcW w:w="3058"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5"/>
                <w:szCs w:val="15"/>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1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1" w:hRule="atLeast"/>
        </w:trPr>
        <w:tc>
          <w:tcPr>
            <w:tcW w:w="18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评价总分</w:t>
            </w:r>
          </w:p>
        </w:tc>
        <w:tc>
          <w:tcPr>
            <w:tcW w:w="416"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16"/>
                <w:szCs w:val="16"/>
                <w:u w:val="none"/>
              </w:rPr>
            </w:pPr>
          </w:p>
        </w:tc>
        <w:tc>
          <w:tcPr>
            <w:tcW w:w="2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b/>
                <w:bCs/>
                <w:i w:val="0"/>
                <w:iCs w:val="0"/>
                <w:color w:val="000000"/>
                <w:sz w:val="16"/>
                <w:szCs w:val="16"/>
                <w:u w:val="none"/>
              </w:rPr>
            </w:pPr>
          </w:p>
        </w:tc>
        <w:tc>
          <w:tcPr>
            <w:tcW w:w="3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b/>
                <w:bCs/>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100</w:t>
            </w:r>
          </w:p>
        </w:tc>
        <w:tc>
          <w:tcPr>
            <w:tcW w:w="6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89.35</w:t>
            </w:r>
          </w:p>
        </w:tc>
        <w:tc>
          <w:tcPr>
            <w:tcW w:w="1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b/>
                <w:bCs/>
                <w:i w:val="0"/>
                <w:iCs w:val="0"/>
                <w:color w:val="000000"/>
                <w:sz w:val="15"/>
                <w:szCs w:val="15"/>
                <w:u w:val="none"/>
              </w:rPr>
            </w:pPr>
          </w:p>
        </w:tc>
      </w:tr>
    </w:tbl>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仿宋" w:hAnsi="仿宋" w:eastAsia="仿宋" w:cs="仿宋"/>
          <w:color w:val="auto"/>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仿宋" w:hAnsi="仿宋" w:eastAsia="仿宋" w:cs="仿宋"/>
          <w:color w:val="auto"/>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00" w:lineRule="exact"/>
        <w:ind w:left="3035" w:leftChars="0" w:hanging="3035" w:hangingChars="696"/>
        <w:jc w:val="both"/>
        <w:textAlignment w:val="auto"/>
        <w:rPr>
          <w:rFonts w:hint="eastAsia" w:ascii="仿宋_GB2312" w:hAnsi="仿宋_GB2312" w:eastAsia="仿宋_GB2312" w:cs="仿宋_GB2312"/>
          <w:color w:val="auto"/>
          <w:sz w:val="44"/>
          <w:szCs w:val="44"/>
          <w:lang w:val="en-US" w:eastAsia="zh-CN"/>
        </w:rPr>
      </w:pPr>
      <w:r>
        <w:rPr>
          <w:rFonts w:hint="eastAsia" w:ascii="仿宋_GB2312" w:hAnsi="仿宋_GB2312" w:eastAsia="仿宋_GB2312" w:cs="仿宋_GB2312"/>
          <w:color w:val="auto"/>
          <w:sz w:val="44"/>
          <w:szCs w:val="44"/>
          <w:lang w:val="en-US" w:eastAsia="zh-CN"/>
        </w:rPr>
        <w:t>附件六</w:t>
      </w:r>
    </w:p>
    <w:p>
      <w:pPr>
        <w:keepNext w:val="0"/>
        <w:keepLines w:val="0"/>
        <w:pageBreakBefore w:val="0"/>
        <w:numPr>
          <w:ilvl w:val="0"/>
          <w:numId w:val="0"/>
        </w:numPr>
        <w:kinsoku/>
        <w:wordWrap/>
        <w:overflowPunct/>
        <w:topLinePunct w:val="0"/>
        <w:autoSpaceDE/>
        <w:autoSpaceDN/>
        <w:bidi w:val="0"/>
        <w:adjustRightInd/>
        <w:snapToGrid/>
        <w:spacing w:line="500" w:lineRule="exact"/>
        <w:ind w:left="3035" w:leftChars="0" w:hanging="3035" w:hangingChars="696"/>
        <w:jc w:val="center"/>
        <w:textAlignment w:val="auto"/>
        <w:rPr>
          <w:rFonts w:hint="eastAsia" w:ascii="方正小标宋简体" w:hAnsi="方正小标宋简体" w:eastAsia="方正小标宋简体" w:cs="方正小标宋简体"/>
          <w:b w:val="0"/>
          <w:bCs w:val="0"/>
          <w:color w:val="auto"/>
          <w:kern w:val="2"/>
          <w:sz w:val="44"/>
          <w:szCs w:val="44"/>
          <w:lang w:val="en-US" w:eastAsia="zh-CN" w:bidi="ar-SA"/>
        </w:rPr>
      </w:pPr>
      <w:r>
        <w:rPr>
          <w:rFonts w:hint="eastAsia" w:ascii="方正小标宋简体" w:hAnsi="方正小标宋简体" w:eastAsia="方正小标宋简体" w:cs="方正小标宋简体"/>
          <w:b w:val="0"/>
          <w:bCs w:val="0"/>
          <w:color w:val="auto"/>
          <w:kern w:val="2"/>
          <w:sz w:val="44"/>
          <w:szCs w:val="44"/>
          <w:lang w:val="en-US" w:eastAsia="zh-CN" w:bidi="ar-SA"/>
        </w:rPr>
        <w:t>2022年度残疾人保障金项目财政评价结果</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00" w:lineRule="exact"/>
        <w:jc w:val="both"/>
        <w:textAlignment w:val="auto"/>
        <w:outlineLvl w:val="2"/>
        <w:rPr>
          <w:rFonts w:hint="eastAsia" w:ascii="楷体" w:hAnsi="楷体" w:eastAsia="楷体" w:cs="楷体"/>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00" w:lineRule="exact"/>
        <w:ind w:firstLine="632" w:firstLineChars="200"/>
        <w:jc w:val="both"/>
        <w:textAlignment w:val="auto"/>
        <w:outlineLvl w:val="2"/>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一、评分结果</w:t>
      </w:r>
    </w:p>
    <w:p>
      <w:pPr>
        <w:keepNext w:val="0"/>
        <w:keepLines w:val="0"/>
        <w:pageBreakBefore w:val="0"/>
        <w:widowControl/>
        <w:kinsoku/>
        <w:wordWrap/>
        <w:overflowPunct/>
        <w:topLinePunct w:val="0"/>
        <w:autoSpaceDE/>
        <w:autoSpaceDN/>
        <w:bidi w:val="0"/>
        <w:adjustRightInd/>
        <w:snapToGrid/>
        <w:spacing w:line="500" w:lineRule="exact"/>
        <w:ind w:firstLine="632" w:firstLineChars="200"/>
        <w:jc w:val="both"/>
        <w:textAlignment w:val="auto"/>
        <w:rPr>
          <w:rFonts w:hint="eastAsia" w:ascii="仿宋" w:hAnsi="仿宋" w:eastAsia="仿宋" w:cs="仿宋"/>
          <w:color w:val="auto"/>
          <w:sz w:val="32"/>
          <w:szCs w:val="32"/>
          <w:lang w:val="en-US" w:eastAsia="zh-CN"/>
        </w:rPr>
      </w:pPr>
      <w:r>
        <w:rPr>
          <w:rFonts w:hint="eastAsia" w:ascii="仿宋_GB2312" w:hAnsi="仿宋" w:eastAsia="仿宋_GB2312"/>
          <w:color w:val="auto"/>
          <w:sz w:val="32"/>
          <w:szCs w:val="32"/>
          <w:lang w:val="en-US" w:eastAsia="zh-CN"/>
        </w:rPr>
        <w:t>秭归县2022年度残疾人就业保障金项目评价结果为77.17分，评分等级为中。</w:t>
      </w:r>
    </w:p>
    <w:p>
      <w:pPr>
        <w:keepNext w:val="0"/>
        <w:keepLines w:val="0"/>
        <w:pageBreakBefore w:val="0"/>
        <w:widowControl/>
        <w:kinsoku/>
        <w:wordWrap/>
        <w:overflowPunct/>
        <w:topLinePunct w:val="0"/>
        <w:autoSpaceDE/>
        <w:autoSpaceDN/>
        <w:bidi w:val="0"/>
        <w:adjustRightInd/>
        <w:snapToGrid/>
        <w:spacing w:line="500" w:lineRule="exact"/>
        <w:ind w:firstLine="632" w:firstLineChars="200"/>
        <w:jc w:val="both"/>
        <w:textAlignment w:val="auto"/>
        <w:rPr>
          <w:rFonts w:hint="eastAsia" w:ascii="仿宋_GB2312" w:hAnsi="仿宋" w:eastAsia="仿宋_GB2312"/>
          <w:color w:val="auto"/>
          <w:sz w:val="32"/>
          <w:szCs w:val="32"/>
          <w:lang w:val="en-US" w:eastAsia="zh-CN"/>
        </w:rPr>
      </w:pPr>
      <w:r>
        <w:rPr>
          <w:rFonts w:hint="eastAsia" w:ascii="仿宋_GB2312" w:hAnsi="仿宋" w:eastAsia="仿宋_GB2312"/>
          <w:color w:val="auto"/>
          <w:sz w:val="32"/>
          <w:szCs w:val="32"/>
          <w:lang w:val="en-US" w:eastAsia="zh-CN"/>
        </w:rPr>
        <w:t>其中：项目决策标准分22分，评价得分16分，未将绩效目标分解未具体的绩效指标，无可量化的指标值；项目过程标准分18分，评价得分14分，主要扣分原因为未通过相关媒介向社会公布保障金用于支持残疾人就业和保障残疾人生活支出情况；项目产出标准分45分，评价得分32.17分，主要扣分原因项目超预算；效果指标标准分15分，评价得分15分，效果显著且满意度较高。</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00" w:lineRule="exact"/>
        <w:ind w:firstLine="632" w:firstLineChars="200"/>
        <w:jc w:val="both"/>
        <w:textAlignment w:val="auto"/>
        <w:outlineLvl w:val="2"/>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二、绩效目标完成情况分析</w:t>
      </w:r>
    </w:p>
    <w:p>
      <w:pPr>
        <w:keepNext w:val="0"/>
        <w:keepLines w:val="0"/>
        <w:pageBreakBefore w:val="0"/>
        <w:widowControl w:val="0"/>
        <w:tabs>
          <w:tab w:val="left" w:pos="1276"/>
        </w:tabs>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s="仿宋"/>
          <w:color w:val="auto"/>
          <w:sz w:val="32"/>
          <w:szCs w:val="32"/>
          <w:lang w:val="en-US" w:eastAsia="zh-CN"/>
        </w:rPr>
      </w:pPr>
      <w:r>
        <w:rPr>
          <w:rFonts w:hint="eastAsia" w:ascii="仿宋_GB2312" w:hAnsi="仿宋" w:eastAsia="仿宋_GB2312"/>
          <w:sz w:val="32"/>
          <w:szCs w:val="32"/>
          <w:lang w:val="en-US" w:eastAsia="zh-CN"/>
        </w:rPr>
        <w:t>本次绩效评价对象为秭归县残疾人康复就业服务所负责实施的秭归县2022年度残疾人就业保障金项目，涉及使用一般公共预算财政拨款收入5,000,000.00元。评价组从预算项目决策、过程、产出及效果等4个方面对秭归县2022年度残疾人就业保障金项目情况进行评价分析。本次评价重点为项目产出和效果，评价组对项目实施内容进行了资料查阅及问卷调查。</w:t>
      </w:r>
      <w:r>
        <w:rPr>
          <w:rFonts w:hint="eastAsia" w:ascii="仿宋" w:hAnsi="仿宋" w:eastAsia="仿宋" w:cs="仿宋"/>
          <w:color w:val="auto"/>
          <w:sz w:val="32"/>
          <w:szCs w:val="32"/>
          <w:lang w:val="en-US" w:eastAsia="zh-CN"/>
        </w:rPr>
        <w:t>综合评价为中。</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00" w:lineRule="exact"/>
        <w:ind w:firstLine="632" w:firstLineChars="200"/>
        <w:jc w:val="both"/>
        <w:textAlignment w:val="auto"/>
        <w:outlineLvl w:val="2"/>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三、存在的问题和原因</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s="仿宋_GB2312"/>
          <w:color w:val="000000"/>
          <w:kern w:val="0"/>
          <w:szCs w:val="32"/>
          <w:lang w:val="en-US" w:eastAsia="zh-CN"/>
        </w:rPr>
      </w:pPr>
      <w:r>
        <w:rPr>
          <w:rFonts w:hint="eastAsia" w:ascii="仿宋" w:hAnsi="仿宋" w:eastAsia="仿宋" w:cs="仿宋_GB2312"/>
          <w:color w:val="000000"/>
          <w:kern w:val="0"/>
          <w:szCs w:val="32"/>
        </w:rPr>
        <w:t>1</w:t>
      </w:r>
      <w:r>
        <w:rPr>
          <w:rFonts w:ascii="仿宋" w:hAnsi="仿宋" w:eastAsia="仿宋" w:cs="仿宋_GB2312"/>
          <w:color w:val="000000"/>
          <w:kern w:val="0"/>
          <w:szCs w:val="32"/>
        </w:rPr>
        <w:t>.</w:t>
      </w:r>
      <w:r>
        <w:rPr>
          <w:rFonts w:hint="eastAsia" w:ascii="仿宋" w:hAnsi="仿宋" w:eastAsia="仿宋" w:cs="仿宋_GB2312"/>
          <w:color w:val="000000"/>
          <w:kern w:val="0"/>
          <w:szCs w:val="32"/>
          <w:lang w:val="en-US" w:eastAsia="zh-CN"/>
        </w:rPr>
        <w:t>部分项目未设置清晰、细化、可衡量的指标值。</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s="仿宋_GB2312"/>
          <w:color w:val="000000"/>
          <w:kern w:val="0"/>
          <w:szCs w:val="32"/>
          <w:lang w:val="en-US" w:eastAsia="zh-CN"/>
        </w:rPr>
      </w:pPr>
      <w:r>
        <w:rPr>
          <w:rFonts w:hint="eastAsia" w:ascii="仿宋" w:hAnsi="仿宋" w:eastAsia="仿宋" w:cs="仿宋_GB2312"/>
          <w:color w:val="000000"/>
          <w:kern w:val="0"/>
          <w:szCs w:val="32"/>
          <w:lang w:val="en-US" w:eastAsia="zh-CN"/>
        </w:rPr>
        <w:t>2.项目预算编制不合理，个别项目未实施，部分项目实际执行率低，部分项目实际执行超年初预算。</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ascii="仿宋" w:hAnsi="仿宋" w:eastAsia="仿宋" w:cs="仿宋_GB2312"/>
          <w:color w:val="000000"/>
          <w:kern w:val="0"/>
          <w:szCs w:val="32"/>
        </w:rPr>
      </w:pPr>
      <w:r>
        <w:rPr>
          <w:rFonts w:hint="eastAsia" w:ascii="仿宋" w:hAnsi="仿宋" w:eastAsia="仿宋" w:cs="仿宋_GB2312"/>
          <w:color w:val="000000"/>
          <w:kern w:val="0"/>
          <w:szCs w:val="32"/>
          <w:lang w:val="en-US" w:eastAsia="zh-CN"/>
        </w:rPr>
        <w:t>3.单位未通过相关媒介向社会公布保障金用于支持残疾人就业和保障残疾人生活支出情况，接受社会监督。</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ascii="仿宋" w:hAnsi="仿宋" w:eastAsia="仿宋" w:cs="仿宋_GB2312"/>
          <w:color w:val="000000"/>
          <w:kern w:val="0"/>
          <w:szCs w:val="32"/>
        </w:rPr>
      </w:pPr>
      <w:r>
        <w:rPr>
          <w:rFonts w:hint="eastAsia" w:ascii="仿宋" w:hAnsi="仿宋" w:eastAsia="仿宋" w:cs="仿宋_GB2312"/>
          <w:color w:val="000000"/>
          <w:kern w:val="0"/>
          <w:szCs w:val="32"/>
          <w:lang w:val="en-US" w:eastAsia="zh-CN"/>
        </w:rPr>
        <w:t>4</w:t>
      </w:r>
      <w:r>
        <w:rPr>
          <w:rFonts w:ascii="仿宋" w:hAnsi="仿宋" w:eastAsia="仿宋" w:cs="仿宋_GB2312"/>
          <w:color w:val="000000"/>
          <w:kern w:val="0"/>
          <w:szCs w:val="32"/>
        </w:rPr>
        <w:t>.</w:t>
      </w:r>
      <w:r>
        <w:rPr>
          <w:rFonts w:hint="eastAsia" w:ascii="仿宋" w:hAnsi="仿宋" w:eastAsia="仿宋" w:cs="仿宋_GB2312"/>
          <w:color w:val="000000"/>
          <w:kern w:val="0"/>
          <w:szCs w:val="32"/>
        </w:rPr>
        <w:t>项目资金使用未做到合法、合</w:t>
      </w:r>
      <w:r>
        <w:rPr>
          <w:rFonts w:hint="eastAsia" w:ascii="仿宋" w:hAnsi="仿宋" w:eastAsia="仿宋" w:cs="仿宋_GB2312"/>
          <w:color w:val="auto"/>
          <w:kern w:val="0"/>
          <w:szCs w:val="32"/>
        </w:rPr>
        <w:t>规，使用残保金支出非</w:t>
      </w:r>
      <w:r>
        <w:rPr>
          <w:rFonts w:hint="eastAsia" w:ascii="仿宋" w:hAnsi="仿宋" w:eastAsia="仿宋" w:cs="仿宋_GB2312"/>
          <w:kern w:val="0"/>
          <w:szCs w:val="32"/>
        </w:rPr>
        <w:t>直接用于残疾人的费用</w:t>
      </w:r>
      <w:r>
        <w:rPr>
          <w:rFonts w:hint="eastAsia" w:ascii="仿宋" w:hAnsi="仿宋" w:eastAsia="仿宋" w:cs="仿宋_GB2312"/>
          <w:color w:val="000000"/>
          <w:kern w:val="0"/>
          <w:szCs w:val="32"/>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s="仿宋_GB2312"/>
          <w:color w:val="000000"/>
          <w:kern w:val="0"/>
          <w:szCs w:val="32"/>
          <w:lang w:val="en-US" w:eastAsia="zh-CN"/>
        </w:rPr>
      </w:pPr>
      <w:r>
        <w:rPr>
          <w:rFonts w:hint="eastAsia" w:ascii="仿宋" w:hAnsi="仿宋" w:eastAsia="仿宋" w:cs="仿宋_GB2312"/>
          <w:color w:val="000000"/>
          <w:kern w:val="0"/>
          <w:szCs w:val="32"/>
          <w:lang w:val="en-US" w:eastAsia="zh-CN"/>
        </w:rPr>
        <w:t>5.单位未严格控制项目成本，部分项目资金使用率超过100%。</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00" w:lineRule="exact"/>
        <w:ind w:firstLine="632" w:firstLineChars="200"/>
        <w:jc w:val="both"/>
        <w:textAlignment w:val="auto"/>
        <w:outlineLvl w:val="2"/>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四、结果拟应用建议</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sz w:val="32"/>
          <w:szCs w:val="32"/>
          <w:lang w:val="en-US" w:eastAsia="zh-CN"/>
        </w:rPr>
      </w:pPr>
      <w:r>
        <w:rPr>
          <w:rFonts w:hint="eastAsia" w:ascii="仿宋" w:hAnsi="仿宋" w:eastAsia="仿宋" w:cs="仿宋_GB2312"/>
          <w:color w:val="auto"/>
          <w:kern w:val="0"/>
          <w:szCs w:val="32"/>
          <w:lang w:val="en-US" w:eastAsia="zh-CN"/>
        </w:rPr>
        <w:t>1.单位编制项目绩效目标时</w:t>
      </w:r>
      <w:r>
        <w:rPr>
          <w:rFonts w:hint="eastAsia" w:ascii="仿宋" w:hAnsi="仿宋" w:eastAsia="仿宋"/>
          <w:sz w:val="32"/>
          <w:szCs w:val="32"/>
        </w:rPr>
        <w:t>，</w:t>
      </w:r>
      <w:r>
        <w:rPr>
          <w:rFonts w:hint="eastAsia" w:ascii="仿宋" w:hAnsi="仿宋" w:eastAsia="仿宋"/>
          <w:sz w:val="32"/>
          <w:szCs w:val="32"/>
          <w:lang w:val="en-US" w:eastAsia="zh-CN"/>
        </w:rPr>
        <w:t>应结合年初下达的计划，综合考虑</w:t>
      </w:r>
      <w:r>
        <w:rPr>
          <w:rFonts w:hint="eastAsia" w:ascii="仿宋" w:hAnsi="仿宋" w:eastAsia="仿宋"/>
          <w:sz w:val="32"/>
          <w:szCs w:val="32"/>
        </w:rPr>
        <w:t>近几年项目</w:t>
      </w:r>
      <w:r>
        <w:rPr>
          <w:rFonts w:hint="eastAsia" w:ascii="仿宋" w:hAnsi="仿宋" w:eastAsia="仿宋"/>
          <w:sz w:val="32"/>
          <w:szCs w:val="32"/>
          <w:lang w:val="en-US" w:eastAsia="zh-CN"/>
        </w:rPr>
        <w:t>的</w:t>
      </w:r>
      <w:r>
        <w:rPr>
          <w:rFonts w:hint="eastAsia" w:ascii="仿宋" w:hAnsi="仿宋" w:eastAsia="仿宋"/>
          <w:sz w:val="32"/>
          <w:szCs w:val="32"/>
        </w:rPr>
        <w:t>实施情况，对项目实施内容进行充分论证，科学、合理</w:t>
      </w:r>
      <w:r>
        <w:rPr>
          <w:rFonts w:hint="eastAsia" w:ascii="仿宋" w:hAnsi="仿宋" w:eastAsia="仿宋"/>
          <w:sz w:val="32"/>
          <w:szCs w:val="32"/>
          <w:lang w:val="en-US" w:eastAsia="zh-CN"/>
        </w:rPr>
        <w:t>的设置绩效目标指标值</w:t>
      </w:r>
      <w:r>
        <w:rPr>
          <w:rFonts w:hint="eastAsia" w:ascii="仿宋" w:hAnsi="仿宋" w:eastAsia="仿宋"/>
          <w:sz w:val="32"/>
          <w:szCs w:val="32"/>
        </w:rPr>
        <w:t>。</w:t>
      </w:r>
      <w:r>
        <w:rPr>
          <w:rFonts w:hint="eastAsia" w:ascii="仿宋" w:hAnsi="仿宋" w:eastAsia="仿宋"/>
          <w:sz w:val="32"/>
          <w:szCs w:val="32"/>
          <w:lang w:val="en-US" w:eastAsia="zh-CN"/>
        </w:rPr>
        <w:t>若因年初计划下达较晚，无法合理准确设置，应在计划下达后，及时调整对应指标值，保证指标值清晰、可量化。</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2.年初编制</w:t>
      </w:r>
      <w:r>
        <w:rPr>
          <w:rFonts w:hint="eastAsia" w:ascii="仿宋" w:hAnsi="仿宋" w:eastAsia="仿宋"/>
          <w:sz w:val="32"/>
          <w:szCs w:val="32"/>
        </w:rPr>
        <w:t>项目预算时，应对近几年项目</w:t>
      </w:r>
      <w:r>
        <w:rPr>
          <w:rFonts w:hint="eastAsia" w:ascii="仿宋" w:hAnsi="仿宋" w:eastAsia="仿宋"/>
          <w:sz w:val="32"/>
          <w:szCs w:val="32"/>
          <w:lang w:val="en-US" w:eastAsia="zh-CN"/>
        </w:rPr>
        <w:t>实际执行情况</w:t>
      </w:r>
      <w:r>
        <w:rPr>
          <w:rFonts w:hint="eastAsia" w:ascii="仿宋" w:hAnsi="仿宋" w:eastAsia="仿宋"/>
          <w:sz w:val="32"/>
          <w:szCs w:val="32"/>
        </w:rPr>
        <w:t>进行分析，</w:t>
      </w:r>
      <w:r>
        <w:rPr>
          <w:rFonts w:hint="eastAsia" w:ascii="仿宋" w:hAnsi="仿宋" w:eastAsia="仿宋"/>
          <w:sz w:val="32"/>
          <w:szCs w:val="32"/>
          <w:lang w:val="en-US" w:eastAsia="zh-CN"/>
        </w:rPr>
        <w:t>综合考虑社会实际情况，尽量准确的编制预算，</w:t>
      </w:r>
      <w:r>
        <w:rPr>
          <w:rFonts w:hint="eastAsia" w:ascii="仿宋" w:hAnsi="仿宋" w:eastAsia="仿宋" w:cs="仿宋_GB2312"/>
          <w:color w:val="000000"/>
          <w:kern w:val="0"/>
          <w:szCs w:val="32"/>
        </w:rPr>
        <w:t>提高资金使用效率。</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200"/>
        <w:textAlignment w:val="auto"/>
        <w:rPr>
          <w:rFonts w:hint="eastAsia" w:ascii="仿宋" w:hAnsi="仿宋" w:eastAsia="仿宋" w:cs="仿宋_GB2312"/>
          <w:color w:val="000000"/>
          <w:kern w:val="0"/>
          <w:szCs w:val="32"/>
          <w:lang w:val="en-US" w:eastAsia="zh-CN"/>
        </w:rPr>
      </w:pPr>
      <w:r>
        <w:rPr>
          <w:rFonts w:hint="eastAsia" w:ascii="仿宋" w:hAnsi="仿宋" w:eastAsia="仿宋" w:cs="仿宋_GB2312"/>
          <w:color w:val="000000"/>
          <w:kern w:val="0"/>
          <w:szCs w:val="32"/>
          <w:lang w:val="en-US" w:eastAsia="zh-CN"/>
        </w:rPr>
        <w:t>3</w:t>
      </w:r>
      <w:r>
        <w:rPr>
          <w:rFonts w:ascii="仿宋" w:hAnsi="仿宋" w:eastAsia="仿宋" w:cs="仿宋_GB2312"/>
          <w:color w:val="000000"/>
          <w:kern w:val="0"/>
          <w:szCs w:val="32"/>
        </w:rPr>
        <w:t>.</w:t>
      </w:r>
      <w:r>
        <w:rPr>
          <w:rFonts w:hint="eastAsia" w:ascii="仿宋" w:hAnsi="仿宋" w:eastAsia="仿宋" w:cs="仿宋_GB2312"/>
          <w:color w:val="000000"/>
          <w:kern w:val="0"/>
          <w:szCs w:val="32"/>
          <w:lang w:val="en-US" w:eastAsia="zh-CN"/>
        </w:rPr>
        <w:t>单位应深入学习《残疾人就业保障金征收使用管理办法》，加强对专项资金的使用管理，完善内部监督机制；提高财务人员的专业知识水平和工作能力，确保项目资金使用合法、合规；采取合理方式主动向社会公布项目资金使用情况，保证项目及时接受社会监督，提高事后监督的效果。</w:t>
      </w:r>
    </w:p>
    <w:p>
      <w:pPr>
        <w:keepNext w:val="0"/>
        <w:keepLines w:val="0"/>
        <w:pageBreakBefore w:val="0"/>
        <w:widowControl/>
        <w:kinsoku/>
        <w:wordWrap/>
        <w:overflowPunct/>
        <w:topLinePunct w:val="0"/>
        <w:autoSpaceDE/>
        <w:autoSpaceDN/>
        <w:bidi w:val="0"/>
        <w:adjustRightInd/>
        <w:snapToGrid/>
        <w:spacing w:line="500" w:lineRule="exact"/>
        <w:ind w:firstLine="632"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附表：2022年度残疾人保障金项目绩效评价得分表</w:t>
      </w:r>
    </w:p>
    <w:tbl>
      <w:tblPr>
        <w:tblStyle w:val="11"/>
        <w:tblW w:w="10973" w:type="dxa"/>
        <w:tblInd w:w="-89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23"/>
        <w:gridCol w:w="565"/>
        <w:gridCol w:w="1166"/>
        <w:gridCol w:w="773"/>
        <w:gridCol w:w="2319"/>
        <w:gridCol w:w="3069"/>
        <w:gridCol w:w="392"/>
        <w:gridCol w:w="658"/>
        <w:gridCol w:w="17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一级指标</w:t>
            </w:r>
          </w:p>
        </w:tc>
        <w:tc>
          <w:tcPr>
            <w:tcW w:w="5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二级指标</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三级指标</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指标值</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指标解释</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评分标准</w:t>
            </w: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分值</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评价得分</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both"/>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3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决策</w:t>
            </w:r>
          </w:p>
        </w:tc>
        <w:tc>
          <w:tcPr>
            <w:tcW w:w="5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项目立项</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立项依据充分性</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充分</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项目立项是否符合法律法规、相关政策、发展规划以及部门职责，用以反映和考核项目立项依据情况。</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①项目立项是否符合国家法律法规、国民经济发展规划和相关政策，得2分；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②项目立项是否与部门职责范围相符，属于部门履职所需，得2分。</w:t>
            </w: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b/>
                <w:bCs/>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立项程序规范性</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规范</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项目申请、设立过程是否符合相关要求，用以反映和考核项目立项的规范情况。</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①项目是否按照规定的程序申请设立，得2分；②审批文件、材料是否符合相关要求，得2分。</w:t>
            </w: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b/>
                <w:bCs/>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绩效目标</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绩效目标合理性</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科学、准确</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项目所设定的绩效目标是否依据充分，是否符合客观实际，用以反映和考核项目绩效目标与项目实施的相符情况。</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①项目绩效目标与实际工作内容是否具有相关性，得2分；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②是否与预算确定的项目资金量相匹配，得2分。</w:t>
            </w: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b/>
                <w:bCs/>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vMerge w:val="continue"/>
            <w:tcBorders>
              <w:top w:val="nil"/>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绩效指标明确性</w:t>
            </w:r>
          </w:p>
        </w:tc>
        <w:tc>
          <w:tcPr>
            <w:tcW w:w="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清晰、细化、可衡量</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依据绩效目标设定的绩效指标是否清晰、细化、可衡量等，用以反映和考核项目绩效目标的明细化情况。</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①是否将项目绩效目标细化分解为具体的绩效指标，得2分；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②是否通过清晰、可衡量的指标值予以体现，得2分；</w:t>
            </w: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残疾人工作信息建设、残疾人宣传文体、残疾人康复教育支出项目未将绩效目标分解未具体的绩效指标，无可量化的指标值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1"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资金投入</w:t>
            </w:r>
          </w:p>
        </w:tc>
        <w:tc>
          <w:tcPr>
            <w:tcW w:w="11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预算编制</w:t>
            </w:r>
          </w:p>
        </w:tc>
        <w:tc>
          <w:tcPr>
            <w:tcW w:w="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合理、规范</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预算编制是否合理、规范。一是支出内容是否合理，是否与项目工作内容和绩效目标高度相关；二是预算明细是否详尽清晰，是否能对每一项支出分解到最小单元（数量*单价）；三是数量和单价的测算依据来源是否可信可靠。</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支出内容合理，与项目工作内容和绩效目标高度相关，得2分；②项目预算明细表详尽清晰，对每一项支出能够分解到最小单元（数量*单价），得1分；③项目预算所依据的标准合理合规，如所需数量和单价确定的依据来源可靠，得1分。</w:t>
            </w: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基层残联组织建设实际未实施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11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预算分配</w:t>
            </w:r>
          </w:p>
        </w:tc>
        <w:tc>
          <w:tcPr>
            <w:tcW w:w="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公平、公开、公正</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考察预算分配程序是否公平、公开、公正。预算分配包括区域之间的分配、子项目之间的分配。</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①项目预算资金分配遵循严格规范的程序，确保公开、公正，得1分；②分配的标准统一、公平、合理，得1分。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如不涉及资金分配，本项默认满分。</w:t>
            </w: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atLeast"/>
        </w:trPr>
        <w:tc>
          <w:tcPr>
            <w:tcW w:w="3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过程</w:t>
            </w:r>
          </w:p>
        </w:tc>
        <w:tc>
          <w:tcPr>
            <w:tcW w:w="56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业务</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管理</w:t>
            </w:r>
          </w:p>
        </w:tc>
        <w:tc>
          <w:tcPr>
            <w:tcW w:w="11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管理措施</w:t>
            </w:r>
          </w:p>
        </w:tc>
        <w:tc>
          <w:tcPr>
            <w:tcW w:w="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规范、全面、有效</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考察项目实施单位的业务管理制度是否规范、全面、有效。</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①项目业务管理制度制定全面，得1分；②为项目建设配套了管理机构、人员等支撑，建立了保障项目顺利实施的工作机制，得1分。</w:t>
            </w: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11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项目实施</w:t>
            </w:r>
          </w:p>
        </w:tc>
        <w:tc>
          <w:tcPr>
            <w:tcW w:w="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符合</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考察项目实施单位项目实施是否符合实施方案或相关管理规定要求。</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①项目招投标、采购、验收等严格执行相关制度规定，政府采购项目全过程信息公开，得2分；②项目的设立按规定履行报批程序，得2分。</w:t>
            </w: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11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监督评价</w:t>
            </w:r>
          </w:p>
        </w:tc>
        <w:tc>
          <w:tcPr>
            <w:tcW w:w="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及时、有效</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考察项目实施单位保障项目质量要求采取的措施是否及时、有效。</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①通过相关媒介向社会公布保障金用于支持残疾人就业和保障残疾人生活支出情况，得2分；②项目实施完毕后，组织相关人员进行考核验收，政府采购项目规范开展履约验收，得2分。</w:t>
            </w: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未通过相关媒介向社会公布保障金用于支持残疾人就业和保障残疾人生活支出情况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1"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财务           管理</w:t>
            </w:r>
          </w:p>
        </w:tc>
        <w:tc>
          <w:tcPr>
            <w:tcW w:w="11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资金使用合法性</w:t>
            </w:r>
          </w:p>
        </w:tc>
        <w:tc>
          <w:tcPr>
            <w:tcW w:w="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合法、合规</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考察资金拨付、使用是否合法、合规。</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①资金拨付有完整的审批程序和手续，按照规定支付各款项，得2分；②资金专款专用，无挤占、挪用、虚列支出等情况，得2分。</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（如20%及以上的项目资金支出与项目预算内容无关，则绩效评价得分整体扣40分）</w:t>
            </w: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使用残保金支出非直接用于残疾人的费用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8"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11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资金使用率</w:t>
            </w:r>
          </w:p>
        </w:tc>
        <w:tc>
          <w:tcPr>
            <w:tcW w:w="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95%</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通过资金使用率考察预算单位预算编制准确性和项目执行力度。</w:t>
            </w: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财政拨付的预算资金95%及以上使用得4分；90%及以上得3分；80%及以上得2分；80%（不含）以下不得分。</w:t>
            </w: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w:t>
            </w:r>
          </w:p>
        </w:tc>
        <w:tc>
          <w:tcPr>
            <w:tcW w:w="565" w:type="dxa"/>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数量指标</w:t>
            </w:r>
          </w:p>
        </w:tc>
        <w:tc>
          <w:tcPr>
            <w:tcW w:w="11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残疾学生交通补助</w:t>
            </w:r>
          </w:p>
        </w:tc>
        <w:tc>
          <w:tcPr>
            <w:tcW w:w="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170人</w:t>
            </w:r>
          </w:p>
        </w:tc>
        <w:tc>
          <w:tcPr>
            <w:tcW w:w="2319"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反映预期提供的公共产品和服务数量，如“务工农民岗位技能培训人数”、“公共租赁住房保障户数”等。（数量指标名称，一般是“动词+名词+量词”的结构，例如“培训-人-数”“保障-户-数”。）</w:t>
            </w:r>
          </w:p>
        </w:tc>
        <w:tc>
          <w:tcPr>
            <w:tcW w:w="3069"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left"/>
              <w:rPr>
                <w:rFonts w:hint="eastAsia" w:ascii="宋体" w:hAnsi="宋体" w:eastAsia="宋体" w:cs="宋体"/>
                <w:i w:val="0"/>
                <w:iCs w:val="0"/>
                <w:color w:val="000000"/>
                <w:sz w:val="15"/>
                <w:szCs w:val="15"/>
                <w:u w:val="none"/>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项目未实施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vMerge w:val="continue"/>
            <w:tcBorders>
              <w:top w:val="single" w:color="000000" w:sz="4" w:space="0"/>
              <w:left w:val="single" w:color="000000" w:sz="4" w:space="0"/>
              <w:bottom w:val="nil"/>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11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扶残助学</w:t>
            </w:r>
          </w:p>
        </w:tc>
        <w:tc>
          <w:tcPr>
            <w:tcW w:w="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40人</w:t>
            </w:r>
          </w:p>
        </w:tc>
        <w:tc>
          <w:tcPr>
            <w:tcW w:w="2319"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069"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left"/>
              <w:rPr>
                <w:rFonts w:hint="eastAsia" w:ascii="宋体" w:hAnsi="宋体" w:eastAsia="宋体" w:cs="宋体"/>
                <w:i w:val="0"/>
                <w:iCs w:val="0"/>
                <w:color w:val="000000"/>
                <w:sz w:val="15"/>
                <w:szCs w:val="15"/>
                <w:u w:val="none"/>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vMerge w:val="continue"/>
            <w:tcBorders>
              <w:top w:val="single" w:color="000000" w:sz="4" w:space="0"/>
              <w:left w:val="single" w:color="000000" w:sz="4" w:space="0"/>
              <w:bottom w:val="nil"/>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11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农村实用技术培训</w:t>
            </w:r>
          </w:p>
        </w:tc>
        <w:tc>
          <w:tcPr>
            <w:tcW w:w="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400人</w:t>
            </w:r>
          </w:p>
        </w:tc>
        <w:tc>
          <w:tcPr>
            <w:tcW w:w="2319"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0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①如果指标为xx率，那么评价标准应为：得分=xx率*指标分值；注意：资金超支率是特殊情况，得分=（1-超支率）*指标分值。</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②如果指标为xx场次、xx面积，那么评价标准应为：得分=实际值/目标值*指标分值；</w:t>
            </w:r>
            <w:r>
              <w:rPr>
                <w:rFonts w:hint="eastAsia" w:ascii="宋体" w:hAnsi="宋体" w:eastAsia="宋体" w:cs="宋体"/>
                <w:i w:val="0"/>
                <w:iCs w:val="0"/>
                <w:color w:val="000000"/>
                <w:kern w:val="0"/>
                <w:sz w:val="15"/>
                <w:szCs w:val="15"/>
                <w:u w:val="none"/>
                <w:lang w:val="en-US" w:eastAsia="zh-CN" w:bidi="ar"/>
              </w:rPr>
              <w:br w:type="textWrapping"/>
            </w:r>
            <w:r>
              <w:rPr>
                <w:rFonts w:hint="eastAsia" w:ascii="宋体" w:hAnsi="宋体" w:eastAsia="宋体" w:cs="宋体"/>
                <w:i w:val="0"/>
                <w:iCs w:val="0"/>
                <w:color w:val="000000"/>
                <w:kern w:val="0"/>
                <w:sz w:val="15"/>
                <w:szCs w:val="15"/>
                <w:u w:val="none"/>
                <w:lang w:val="en-US" w:eastAsia="zh-CN" w:bidi="ar"/>
              </w:rPr>
              <w:t>③如果是定性指标，评价标准定性处理，如“根据2022年xx情况相比2021年改善情况酌情给分”（体现增量效果）。</w:t>
            </w: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1.07</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实际参与培训214人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vMerge w:val="continue"/>
            <w:tcBorders>
              <w:top w:val="single" w:color="000000" w:sz="4" w:space="0"/>
              <w:left w:val="single" w:color="000000" w:sz="4" w:space="0"/>
              <w:bottom w:val="nil"/>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11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特殊技能培训</w:t>
            </w:r>
          </w:p>
        </w:tc>
        <w:tc>
          <w:tcPr>
            <w:tcW w:w="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30人</w:t>
            </w:r>
          </w:p>
        </w:tc>
        <w:tc>
          <w:tcPr>
            <w:tcW w:w="2319"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vMerge w:val="continue"/>
            <w:tcBorders>
              <w:top w:val="single" w:color="000000" w:sz="4" w:space="0"/>
              <w:left w:val="single" w:color="000000" w:sz="4" w:space="0"/>
              <w:bottom w:val="nil"/>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11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职业技能培训</w:t>
            </w:r>
          </w:p>
        </w:tc>
        <w:tc>
          <w:tcPr>
            <w:tcW w:w="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120人</w:t>
            </w:r>
          </w:p>
        </w:tc>
        <w:tc>
          <w:tcPr>
            <w:tcW w:w="2319"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0.25</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实际参与培训15人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vMerge w:val="continue"/>
            <w:tcBorders>
              <w:top w:val="single" w:color="000000" w:sz="4" w:space="0"/>
              <w:left w:val="single" w:color="000000" w:sz="4" w:space="0"/>
              <w:bottom w:val="nil"/>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11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安置残疾人就业人数</w:t>
            </w:r>
          </w:p>
        </w:tc>
        <w:tc>
          <w:tcPr>
            <w:tcW w:w="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50人</w:t>
            </w:r>
          </w:p>
        </w:tc>
        <w:tc>
          <w:tcPr>
            <w:tcW w:w="2319"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vMerge w:val="continue"/>
            <w:tcBorders>
              <w:top w:val="single" w:color="000000" w:sz="4" w:space="0"/>
              <w:left w:val="single" w:color="000000" w:sz="4" w:space="0"/>
              <w:bottom w:val="nil"/>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11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培养残疾人省级技术能手</w:t>
            </w:r>
          </w:p>
        </w:tc>
        <w:tc>
          <w:tcPr>
            <w:tcW w:w="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10人</w:t>
            </w:r>
          </w:p>
        </w:tc>
        <w:tc>
          <w:tcPr>
            <w:tcW w:w="2319"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8"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vMerge w:val="continue"/>
            <w:tcBorders>
              <w:top w:val="single" w:color="000000" w:sz="4" w:space="0"/>
              <w:left w:val="single" w:color="000000" w:sz="4" w:space="0"/>
              <w:bottom w:val="nil"/>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向省、市争取残疾人就业创业示范基地</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1个</w:t>
            </w:r>
          </w:p>
        </w:tc>
        <w:tc>
          <w:tcPr>
            <w:tcW w:w="2319"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vMerge w:val="continue"/>
            <w:tcBorders>
              <w:top w:val="single" w:color="000000" w:sz="4" w:space="0"/>
              <w:left w:val="single" w:color="000000" w:sz="4" w:space="0"/>
              <w:bottom w:val="nil"/>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培植“双百工程 ”</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10个</w:t>
            </w:r>
          </w:p>
        </w:tc>
        <w:tc>
          <w:tcPr>
            <w:tcW w:w="2319"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0.8</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实际向省残联推荐、申报4家残疾人创业实体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1"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vMerge w:val="continue"/>
            <w:tcBorders>
              <w:top w:val="single" w:color="000000" w:sz="4" w:space="0"/>
              <w:left w:val="single" w:color="000000" w:sz="4" w:space="0"/>
              <w:bottom w:val="nil"/>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扶建残疾人创业就业示范基地</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12个</w:t>
            </w:r>
          </w:p>
        </w:tc>
        <w:tc>
          <w:tcPr>
            <w:tcW w:w="2319"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vMerge w:val="continue"/>
            <w:tcBorders>
              <w:top w:val="single" w:color="000000" w:sz="4" w:space="0"/>
              <w:left w:val="single" w:color="000000" w:sz="4" w:space="0"/>
              <w:bottom w:val="nil"/>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完善秭归县残疾人优秀人才数据库</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100人</w:t>
            </w:r>
          </w:p>
        </w:tc>
        <w:tc>
          <w:tcPr>
            <w:tcW w:w="2319"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项目未实施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vMerge w:val="continue"/>
            <w:tcBorders>
              <w:top w:val="single" w:color="000000" w:sz="4" w:space="0"/>
              <w:left w:val="single" w:color="000000" w:sz="4" w:space="0"/>
              <w:bottom w:val="nil"/>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11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盲人按摩机构房租补贴</w:t>
            </w:r>
          </w:p>
        </w:tc>
        <w:tc>
          <w:tcPr>
            <w:tcW w:w="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18万元</w:t>
            </w:r>
          </w:p>
        </w:tc>
        <w:tc>
          <w:tcPr>
            <w:tcW w:w="2319"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vMerge w:val="continue"/>
            <w:tcBorders>
              <w:top w:val="single" w:color="000000" w:sz="4" w:space="0"/>
              <w:left w:val="single" w:color="000000" w:sz="4" w:space="0"/>
              <w:bottom w:val="nil"/>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11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改造村级残疾人协会办公场所及信息建设</w:t>
            </w:r>
          </w:p>
        </w:tc>
        <w:tc>
          <w:tcPr>
            <w:tcW w:w="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4个</w:t>
            </w:r>
          </w:p>
        </w:tc>
        <w:tc>
          <w:tcPr>
            <w:tcW w:w="2319"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项目未实施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vMerge w:val="continue"/>
            <w:tcBorders>
              <w:top w:val="single" w:color="000000" w:sz="4" w:space="0"/>
              <w:left w:val="single" w:color="000000" w:sz="4" w:space="0"/>
              <w:bottom w:val="nil"/>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11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对残疾人状况进行更新</w:t>
            </w:r>
          </w:p>
        </w:tc>
        <w:tc>
          <w:tcPr>
            <w:tcW w:w="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15800条</w:t>
            </w:r>
          </w:p>
        </w:tc>
        <w:tc>
          <w:tcPr>
            <w:tcW w:w="2319"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0.3</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共更新2395条信息（就业记录2287条、培训记录100条、残疾毕业生8人就业情况）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vMerge w:val="continue"/>
            <w:tcBorders>
              <w:top w:val="single" w:color="000000" w:sz="4" w:space="0"/>
              <w:left w:val="single" w:color="000000" w:sz="4" w:space="0"/>
              <w:bottom w:val="nil"/>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11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为重度残疾人购买保险</w:t>
            </w:r>
          </w:p>
        </w:tc>
        <w:tc>
          <w:tcPr>
            <w:tcW w:w="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5797人</w:t>
            </w:r>
          </w:p>
        </w:tc>
        <w:tc>
          <w:tcPr>
            <w:tcW w:w="2319"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质量指标</w:t>
            </w:r>
          </w:p>
        </w:tc>
        <w:tc>
          <w:tcPr>
            <w:tcW w:w="11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培训合格率</w:t>
            </w:r>
          </w:p>
        </w:tc>
        <w:tc>
          <w:tcPr>
            <w:tcW w:w="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合格</w:t>
            </w:r>
          </w:p>
        </w:tc>
        <w:tc>
          <w:tcPr>
            <w:tcW w:w="2319"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反映预期提供的公共产品和服务达到的标准、水平和效果，如“培训合格率”、“公共租赁住房建设验收通过率”等。</w:t>
            </w:r>
          </w:p>
        </w:tc>
        <w:tc>
          <w:tcPr>
            <w:tcW w:w="3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时效指标</w:t>
            </w:r>
          </w:p>
        </w:tc>
        <w:tc>
          <w:tcPr>
            <w:tcW w:w="11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医保缴纳及时性</w:t>
            </w:r>
          </w:p>
        </w:tc>
        <w:tc>
          <w:tcPr>
            <w:tcW w:w="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及时</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反映预期提供公共产品和服务的及时程度和效率情况，如“培训完成时间”、“补贴发放时间”等。</w:t>
            </w:r>
          </w:p>
        </w:tc>
        <w:tc>
          <w:tcPr>
            <w:tcW w:w="3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成本指标</w:t>
            </w:r>
          </w:p>
        </w:tc>
        <w:tc>
          <w:tcPr>
            <w:tcW w:w="11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预算控制率</w:t>
            </w:r>
          </w:p>
        </w:tc>
        <w:tc>
          <w:tcPr>
            <w:tcW w:w="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≤100%</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反映预期提供公共产品和服务所需成本的控制情况，体现达到同等效益的成本最小化。如：“政府采购资金节约率”等。</w:t>
            </w:r>
          </w:p>
        </w:tc>
        <w:tc>
          <w:tcPr>
            <w:tcW w:w="3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3.75</w:t>
            </w:r>
          </w:p>
        </w:tc>
        <w:tc>
          <w:tcPr>
            <w:tcW w:w="17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八个项目，两个超预算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8" w:hRule="atLeast"/>
        </w:trPr>
        <w:tc>
          <w:tcPr>
            <w:tcW w:w="3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效果</w:t>
            </w:r>
          </w:p>
        </w:tc>
        <w:tc>
          <w:tcPr>
            <w:tcW w:w="565" w:type="dxa"/>
            <w:tcBorders>
              <w:top w:val="single" w:color="000000" w:sz="4" w:space="0"/>
              <w:left w:val="nil"/>
              <w:bottom w:val="nil"/>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社会效益</w:t>
            </w:r>
          </w:p>
        </w:tc>
        <w:tc>
          <w:tcPr>
            <w:tcW w:w="11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残疾人政策知晓范围</w:t>
            </w:r>
          </w:p>
        </w:tc>
        <w:tc>
          <w:tcPr>
            <w:tcW w:w="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逐步扩大</w:t>
            </w:r>
          </w:p>
        </w:tc>
        <w:tc>
          <w:tcPr>
            <w:tcW w:w="2319"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反映相关产出对社会发展带来的影响和效果，如“带动就业增长率”、“低收入家庭居住条件改善情况”“政府采购面向中小企业采购额”“政府采购支持乡村产业振兴执行情况”等。</w:t>
            </w:r>
          </w:p>
        </w:tc>
        <w:tc>
          <w:tcPr>
            <w:tcW w:w="3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可持续影响</w:t>
            </w:r>
          </w:p>
        </w:tc>
        <w:tc>
          <w:tcPr>
            <w:tcW w:w="11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残疾人及其家庭生活水平</w:t>
            </w:r>
          </w:p>
        </w:tc>
        <w:tc>
          <w:tcPr>
            <w:tcW w:w="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逐步提升</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反映相关产出带来影响的可持续期限，如“项目持续发挥作用的期限”、“对本行业未来可持续发展的影响”等。</w:t>
            </w:r>
          </w:p>
        </w:tc>
        <w:tc>
          <w:tcPr>
            <w:tcW w:w="3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6"/>
                <w:szCs w:val="16"/>
                <w:u w:val="none"/>
              </w:rPr>
            </w:pPr>
          </w:p>
        </w:tc>
        <w:tc>
          <w:tcPr>
            <w:tcW w:w="565" w:type="dxa"/>
            <w:tcBorders>
              <w:top w:val="single" w:color="000000" w:sz="4" w:space="0"/>
              <w:left w:val="nil"/>
              <w:bottom w:val="single" w:color="000000" w:sz="4" w:space="0"/>
              <w:right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满意度</w:t>
            </w:r>
          </w:p>
        </w:tc>
        <w:tc>
          <w:tcPr>
            <w:tcW w:w="1166"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残疾人或家属对项目实施效果的满意程度。</w:t>
            </w:r>
          </w:p>
        </w:tc>
        <w:tc>
          <w:tcPr>
            <w:tcW w:w="773"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≥90%</w:t>
            </w:r>
          </w:p>
        </w:tc>
        <w:tc>
          <w:tcPr>
            <w:tcW w:w="2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残疾人或家属对项目实施效果的满意程度。</w:t>
            </w:r>
          </w:p>
        </w:tc>
        <w:tc>
          <w:tcPr>
            <w:tcW w:w="3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center"/>
              <w:rPr>
                <w:rFonts w:hint="eastAsia" w:ascii="宋体" w:hAnsi="宋体" w:eastAsia="宋体" w:cs="宋体"/>
                <w:i w:val="0"/>
                <w:iCs w:val="0"/>
                <w:color w:val="000000"/>
                <w:sz w:val="15"/>
                <w:szCs w:val="15"/>
                <w:u w:val="none"/>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trPr>
        <w:tc>
          <w:tcPr>
            <w:tcW w:w="205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评价总分</w:t>
            </w:r>
          </w:p>
        </w:tc>
        <w:tc>
          <w:tcPr>
            <w:tcW w:w="77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jc w:val="left"/>
              <w:rPr>
                <w:rFonts w:hint="eastAsia" w:ascii="宋体" w:hAnsi="宋体" w:eastAsia="宋体" w:cs="宋体"/>
                <w:b/>
                <w:bCs/>
                <w:i w:val="0"/>
                <w:iCs w:val="0"/>
                <w:color w:val="000000"/>
                <w:sz w:val="16"/>
                <w:szCs w:val="16"/>
                <w:u w:val="none"/>
              </w:rPr>
            </w:pPr>
          </w:p>
        </w:tc>
        <w:tc>
          <w:tcPr>
            <w:tcW w:w="23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rPr>
                <w:rFonts w:hint="eastAsia" w:ascii="宋体" w:hAnsi="宋体" w:eastAsia="宋体" w:cs="宋体"/>
                <w:b/>
                <w:bCs/>
                <w:i w:val="0"/>
                <w:iCs w:val="0"/>
                <w:color w:val="000000"/>
                <w:sz w:val="16"/>
                <w:szCs w:val="16"/>
                <w:u w:val="none"/>
              </w:rPr>
            </w:pPr>
          </w:p>
        </w:tc>
        <w:tc>
          <w:tcPr>
            <w:tcW w:w="3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rPr>
                <w:rFonts w:hint="eastAsia" w:ascii="宋体" w:hAnsi="宋体" w:eastAsia="宋体" w:cs="宋体"/>
                <w:b/>
                <w:bCs/>
                <w:i w:val="0"/>
                <w:iCs w:val="0"/>
                <w:color w:val="000000"/>
                <w:sz w:val="16"/>
                <w:szCs w:val="16"/>
                <w:u w:val="none"/>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100</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77.17</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ind w:right="0" w:rightChars="0"/>
              <w:rPr>
                <w:rFonts w:hint="eastAsia" w:ascii="宋体" w:hAnsi="宋体" w:eastAsia="宋体" w:cs="宋体"/>
                <w:b/>
                <w:bCs/>
                <w:i w:val="0"/>
                <w:iCs w:val="0"/>
                <w:color w:val="000000"/>
                <w:sz w:val="15"/>
                <w:szCs w:val="15"/>
                <w:u w:val="none"/>
              </w:rPr>
            </w:pPr>
          </w:p>
        </w:tc>
      </w:tr>
    </w:tbl>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44"/>
          <w:szCs w:val="44"/>
          <w:lang w:val="en-US" w:eastAsia="zh-CN"/>
        </w:rPr>
      </w:pPr>
    </w:p>
    <w:sectPr>
      <w:headerReference r:id="rId4" w:type="first"/>
      <w:footerReference r:id="rId6" w:type="first"/>
      <w:headerReference r:id="rId3" w:type="default"/>
      <w:footerReference r:id="rId5" w:type="default"/>
      <w:pgSz w:w="11906" w:h="16838"/>
      <w:pgMar w:top="2098" w:right="1587" w:bottom="1685" w:left="1587" w:header="851" w:footer="992" w:gutter="0"/>
      <w:pgNumType w:fmt="numberInDash" w:start="1"/>
      <w:cols w:space="0" w:num="1"/>
      <w:titlePg/>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仿宋" w:hAnsi="仿宋" w:eastAsia="仿宋" w:cs="仿宋"/>
                              <w:sz w:val="24"/>
                              <w:szCs w:val="24"/>
                              <w:lang w:eastAsia="zh-CN"/>
                            </w:rPr>
                          </w:pP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PAGE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1</w:t>
                          </w:r>
                          <w:r>
                            <w:rPr>
                              <w:rFonts w:hint="eastAsia" w:ascii="仿宋" w:hAnsi="仿宋" w:eastAsia="仿宋" w:cs="仿宋"/>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ascii="仿宋" w:hAnsi="仿宋" w:eastAsia="仿宋" w:cs="仿宋"/>
                        <w:sz w:val="24"/>
                        <w:szCs w:val="24"/>
                        <w:lang w:eastAsia="zh-CN"/>
                      </w:rPr>
                    </w:pP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PAGE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1</w:t>
                    </w:r>
                    <w:r>
                      <w:rPr>
                        <w:rFonts w:hint="eastAsia" w:ascii="仿宋" w:hAnsi="仿宋" w:eastAsia="仿宋" w:cs="仿宋"/>
                        <w:sz w:val="24"/>
                        <w:szCs w:val="24"/>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posOffset>5118100</wp:posOffset>
              </wp:positionH>
              <wp:positionV relativeFrom="paragraph">
                <wp:posOffset>-447675</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403pt;margin-top:-35.25pt;height:144pt;width:144pt;mso-position-horizontal-relative:margin;mso-wrap-style:none;z-index:251660288;mso-width-relative:page;mso-height-relative:page;" filled="f" stroked="f" coordsize="21600,21600" o:gfxdata="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ICi32nZAAAADAEAAA8AAAAAAAAAAQAgAAAAIgAAAGRycy9kb3ducmV2Lnht&#10;bFBLAQIUABQAAAAIAIdO4kAkgka0MQIAAGEEAAAOAAAAAAAAAAEAIAAAACgBAABkcnMvZTJvRG9j&#10;LnhtbFBLBQYAAAAABgAGAFkBAADLBQ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both"/>
      <w:rPr>
        <w:rFonts w:hint="eastAsia" w:eastAsia="楷体_GB2312"/>
        <w:i/>
        <w:sz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both"/>
      <w:rPr>
        <w:rFonts w:hint="eastAsia" w:ascii="楷体_GB2312" w:hAnsi="楷体" w:eastAsia="楷体_GB2312" w:cs="微软雅黑"/>
        <w:i/>
        <w:iCs/>
        <w:sz w:val="21"/>
        <w:szCs w:val="21"/>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BD2B24"/>
    <w:multiLevelType w:val="singleLevel"/>
    <w:tmpl w:val="E7BD2B24"/>
    <w:lvl w:ilvl="0" w:tentative="0">
      <w:start w:val="3"/>
      <w:numFmt w:val="chineseCounting"/>
      <w:suff w:val="nothing"/>
      <w:lvlText w:val="%1、"/>
      <w:lvlJc w:val="left"/>
      <w:rPr>
        <w:rFonts w:hint="eastAsia"/>
      </w:rPr>
    </w:lvl>
  </w:abstractNum>
  <w:abstractNum w:abstractNumId="1">
    <w:nsid w:val="1251F027"/>
    <w:multiLevelType w:val="singleLevel"/>
    <w:tmpl w:val="1251F027"/>
    <w:lvl w:ilvl="0" w:tentative="0">
      <w:start w:val="2"/>
      <w:numFmt w:val="chineseCounting"/>
      <w:suff w:val="nothing"/>
      <w:lvlText w:val="（%1）"/>
      <w:lvlJc w:val="left"/>
      <w:rPr>
        <w:rFonts w:hint="eastAsia"/>
      </w:rPr>
    </w:lvl>
  </w:abstractNum>
  <w:abstractNum w:abstractNumId="2">
    <w:nsid w:val="2D957566"/>
    <w:multiLevelType w:val="singleLevel"/>
    <w:tmpl w:val="2D957566"/>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HorizontalSpacing w:val="158"/>
  <w:drawingGridVerticalSpacing w:val="29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kYWQ4MTcyNDcxMjc4MzdhZDc2Y2Q1YjEyMTM1NWEifQ=="/>
  </w:docVars>
  <w:rsids>
    <w:rsidRoot w:val="7E775318"/>
    <w:rsid w:val="00950240"/>
    <w:rsid w:val="013D4456"/>
    <w:rsid w:val="01B54CBD"/>
    <w:rsid w:val="0208541A"/>
    <w:rsid w:val="02181129"/>
    <w:rsid w:val="02D445C7"/>
    <w:rsid w:val="052878D5"/>
    <w:rsid w:val="069A3EBB"/>
    <w:rsid w:val="08640C24"/>
    <w:rsid w:val="086D0535"/>
    <w:rsid w:val="09AF3AAF"/>
    <w:rsid w:val="0A762E91"/>
    <w:rsid w:val="0ADD339A"/>
    <w:rsid w:val="0AE0144F"/>
    <w:rsid w:val="0BB81162"/>
    <w:rsid w:val="0C000C64"/>
    <w:rsid w:val="0C023CE5"/>
    <w:rsid w:val="0C68202D"/>
    <w:rsid w:val="0D02605E"/>
    <w:rsid w:val="0D9C49BC"/>
    <w:rsid w:val="0E527771"/>
    <w:rsid w:val="0F3B0AC3"/>
    <w:rsid w:val="0F3D3F7D"/>
    <w:rsid w:val="0F5A4B2F"/>
    <w:rsid w:val="0FDB5D82"/>
    <w:rsid w:val="10CC060E"/>
    <w:rsid w:val="11585A9E"/>
    <w:rsid w:val="11867E5D"/>
    <w:rsid w:val="11EF532E"/>
    <w:rsid w:val="13561AB1"/>
    <w:rsid w:val="140D0007"/>
    <w:rsid w:val="14116BCD"/>
    <w:rsid w:val="143F60A1"/>
    <w:rsid w:val="14BB6C25"/>
    <w:rsid w:val="1575615C"/>
    <w:rsid w:val="160B3E2A"/>
    <w:rsid w:val="160F6C02"/>
    <w:rsid w:val="16640041"/>
    <w:rsid w:val="172A4DE7"/>
    <w:rsid w:val="18185587"/>
    <w:rsid w:val="1838232E"/>
    <w:rsid w:val="189015C1"/>
    <w:rsid w:val="18DF7E53"/>
    <w:rsid w:val="19214126"/>
    <w:rsid w:val="198C6CA8"/>
    <w:rsid w:val="19B34CFD"/>
    <w:rsid w:val="1B130712"/>
    <w:rsid w:val="1B3B5D84"/>
    <w:rsid w:val="1B544B28"/>
    <w:rsid w:val="1C0D729F"/>
    <w:rsid w:val="1DAC0C4B"/>
    <w:rsid w:val="1FD748DC"/>
    <w:rsid w:val="20B4060E"/>
    <w:rsid w:val="21821CC3"/>
    <w:rsid w:val="2193670F"/>
    <w:rsid w:val="22364F87"/>
    <w:rsid w:val="22743D02"/>
    <w:rsid w:val="2375388E"/>
    <w:rsid w:val="23D26F32"/>
    <w:rsid w:val="2422439F"/>
    <w:rsid w:val="24A3442A"/>
    <w:rsid w:val="24AA3A0B"/>
    <w:rsid w:val="24F81378"/>
    <w:rsid w:val="257B5F50"/>
    <w:rsid w:val="258C3110"/>
    <w:rsid w:val="265B6357"/>
    <w:rsid w:val="26C37006"/>
    <w:rsid w:val="27634C66"/>
    <w:rsid w:val="27B32BD6"/>
    <w:rsid w:val="2A02482C"/>
    <w:rsid w:val="2A257690"/>
    <w:rsid w:val="2AE47924"/>
    <w:rsid w:val="2AE5754B"/>
    <w:rsid w:val="2B777082"/>
    <w:rsid w:val="2B8E7BE2"/>
    <w:rsid w:val="2BFD08C4"/>
    <w:rsid w:val="2DC7201A"/>
    <w:rsid w:val="2FCF07C9"/>
    <w:rsid w:val="31280191"/>
    <w:rsid w:val="31FC517A"/>
    <w:rsid w:val="338A15D8"/>
    <w:rsid w:val="33AB50A9"/>
    <w:rsid w:val="34BB131C"/>
    <w:rsid w:val="35496928"/>
    <w:rsid w:val="35ED3757"/>
    <w:rsid w:val="3612155D"/>
    <w:rsid w:val="36AA33F6"/>
    <w:rsid w:val="376528D9"/>
    <w:rsid w:val="37E1109A"/>
    <w:rsid w:val="37FF2109"/>
    <w:rsid w:val="3A59566D"/>
    <w:rsid w:val="3A706705"/>
    <w:rsid w:val="3A7A7584"/>
    <w:rsid w:val="3AB331C1"/>
    <w:rsid w:val="3B20012B"/>
    <w:rsid w:val="3B2220F5"/>
    <w:rsid w:val="3C3F2833"/>
    <w:rsid w:val="3C460065"/>
    <w:rsid w:val="3DD702AE"/>
    <w:rsid w:val="3F974C69"/>
    <w:rsid w:val="412A5860"/>
    <w:rsid w:val="43BE6733"/>
    <w:rsid w:val="44682941"/>
    <w:rsid w:val="44AB4F09"/>
    <w:rsid w:val="455410AC"/>
    <w:rsid w:val="45E5269D"/>
    <w:rsid w:val="45F96148"/>
    <w:rsid w:val="47637D1D"/>
    <w:rsid w:val="47835AC3"/>
    <w:rsid w:val="478657BA"/>
    <w:rsid w:val="48741AB6"/>
    <w:rsid w:val="4A1860FF"/>
    <w:rsid w:val="4BAE52DF"/>
    <w:rsid w:val="4C0A69B9"/>
    <w:rsid w:val="4D632565"/>
    <w:rsid w:val="4DDC4353"/>
    <w:rsid w:val="4DEB1CF5"/>
    <w:rsid w:val="4EB946C7"/>
    <w:rsid w:val="4F732AC8"/>
    <w:rsid w:val="4FE65048"/>
    <w:rsid w:val="501F49FD"/>
    <w:rsid w:val="50C721B7"/>
    <w:rsid w:val="51DD06CC"/>
    <w:rsid w:val="524D5852"/>
    <w:rsid w:val="53065A01"/>
    <w:rsid w:val="542776BF"/>
    <w:rsid w:val="5503044A"/>
    <w:rsid w:val="555B64D8"/>
    <w:rsid w:val="56BF65F2"/>
    <w:rsid w:val="56E3616E"/>
    <w:rsid w:val="57601B83"/>
    <w:rsid w:val="577675F9"/>
    <w:rsid w:val="577B59C9"/>
    <w:rsid w:val="57C93BCD"/>
    <w:rsid w:val="57D60097"/>
    <w:rsid w:val="58A674BD"/>
    <w:rsid w:val="58D9471C"/>
    <w:rsid w:val="58DB5E14"/>
    <w:rsid w:val="59E61EDA"/>
    <w:rsid w:val="5AF32D0E"/>
    <w:rsid w:val="5B970CBF"/>
    <w:rsid w:val="5C8A60EC"/>
    <w:rsid w:val="5C90132E"/>
    <w:rsid w:val="5D0E70DE"/>
    <w:rsid w:val="5E174F66"/>
    <w:rsid w:val="5E930A90"/>
    <w:rsid w:val="5ECF75EF"/>
    <w:rsid w:val="5F426012"/>
    <w:rsid w:val="5F5A335C"/>
    <w:rsid w:val="5F710605"/>
    <w:rsid w:val="5F916BA7"/>
    <w:rsid w:val="5FD24E2C"/>
    <w:rsid w:val="6109328C"/>
    <w:rsid w:val="612260FC"/>
    <w:rsid w:val="6162016F"/>
    <w:rsid w:val="618C17C7"/>
    <w:rsid w:val="61D7318D"/>
    <w:rsid w:val="61E8773A"/>
    <w:rsid w:val="63DF65BB"/>
    <w:rsid w:val="64567BA3"/>
    <w:rsid w:val="64E33DF4"/>
    <w:rsid w:val="65091170"/>
    <w:rsid w:val="66E42D65"/>
    <w:rsid w:val="68683870"/>
    <w:rsid w:val="68721717"/>
    <w:rsid w:val="68AB69D7"/>
    <w:rsid w:val="6AA3205B"/>
    <w:rsid w:val="6ACB7AD0"/>
    <w:rsid w:val="6B454EC0"/>
    <w:rsid w:val="6B6317EA"/>
    <w:rsid w:val="6B881251"/>
    <w:rsid w:val="6E376F24"/>
    <w:rsid w:val="6E573888"/>
    <w:rsid w:val="6F375468"/>
    <w:rsid w:val="6F424979"/>
    <w:rsid w:val="6FEA4E0D"/>
    <w:rsid w:val="70C1148D"/>
    <w:rsid w:val="70F238F6"/>
    <w:rsid w:val="71EE1771"/>
    <w:rsid w:val="720A6ACC"/>
    <w:rsid w:val="72771620"/>
    <w:rsid w:val="73DE5455"/>
    <w:rsid w:val="74230BD6"/>
    <w:rsid w:val="74B92FE6"/>
    <w:rsid w:val="74ED65A8"/>
    <w:rsid w:val="75AD1FE0"/>
    <w:rsid w:val="75AF3BA3"/>
    <w:rsid w:val="76FA74A7"/>
    <w:rsid w:val="773D4FE2"/>
    <w:rsid w:val="7825209D"/>
    <w:rsid w:val="78F341AE"/>
    <w:rsid w:val="78FA19E0"/>
    <w:rsid w:val="79946DE8"/>
    <w:rsid w:val="79A855CC"/>
    <w:rsid w:val="7AE87E01"/>
    <w:rsid w:val="7DFF3462"/>
    <w:rsid w:val="7E775318"/>
    <w:rsid w:val="7FC357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楷体_GB2312" w:hAnsi="楷体_GB2312" w:eastAsia="楷体_GB2312" w:cs="Times New Roman"/>
      <w:kern w:val="2"/>
      <w:sz w:val="32"/>
      <w:szCs w:val="24"/>
      <w:lang w:val="en-US" w:eastAsia="zh-CN" w:bidi="ar-SA"/>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Theme="majorHAnsi" w:hAnsiTheme="majorHAnsi" w:cstheme="majorBidi"/>
      <w:b/>
      <w:bCs/>
      <w:sz w:val="32"/>
      <w:szCs w:val="32"/>
    </w:rPr>
  </w:style>
  <w:style w:type="paragraph" w:styleId="3">
    <w:name w:val="Body Text"/>
    <w:basedOn w:val="1"/>
    <w:semiHidden/>
    <w:unhideWhenUsed/>
    <w:qFormat/>
    <w:uiPriority w:val="99"/>
    <w:pPr>
      <w:spacing w:after="120"/>
    </w:pPr>
  </w:style>
  <w:style w:type="paragraph" w:styleId="4">
    <w:name w:val="toc 3"/>
    <w:basedOn w:val="1"/>
    <w:next w:val="1"/>
    <w:qFormat/>
    <w:uiPriority w:val="0"/>
    <w:pPr>
      <w:ind w:left="840" w:leftChars="4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qFormat/>
    <w:uiPriority w:val="0"/>
  </w:style>
  <w:style w:type="paragraph" w:styleId="8">
    <w:name w:val="toc 2"/>
    <w:basedOn w:val="1"/>
    <w:next w:val="1"/>
    <w:qFormat/>
    <w:uiPriority w:val="0"/>
    <w:pPr>
      <w:ind w:left="420" w:leftChars="200"/>
    </w:pPr>
  </w:style>
  <w:style w:type="paragraph" w:styleId="9">
    <w:name w:val="Normal (Web)"/>
    <w:basedOn w:val="1"/>
    <w:qFormat/>
    <w:uiPriority w:val="0"/>
    <w:pPr>
      <w:jc w:val="left"/>
    </w:pPr>
    <w:rPr>
      <w:kern w:val="0"/>
      <w:sz w:val="24"/>
    </w:rPr>
  </w:style>
  <w:style w:type="paragraph" w:styleId="10">
    <w:name w:val="Body Text First Indent 2"/>
    <w:basedOn w:val="3"/>
    <w:next w:val="1"/>
    <w:qFormat/>
    <w:uiPriority w:val="0"/>
    <w:pPr>
      <w:widowControl/>
      <w:tabs>
        <w:tab w:val="left" w:pos="7560"/>
      </w:tabs>
      <w:spacing w:before="100" w:beforeAutospacing="1" w:after="100" w:afterAutospacing="1"/>
      <w:ind w:firstLine="420" w:firstLineChars="200"/>
      <w:jc w:val="left"/>
    </w:pPr>
    <w:rPr>
      <w:rFonts w:ascii="宋体" w:hAnsi="宋体" w:cs="宋体"/>
      <w:kern w:val="0"/>
      <w:sz w:val="24"/>
    </w:rPr>
  </w:style>
  <w:style w:type="character" w:styleId="13">
    <w:name w:val="page number"/>
    <w:basedOn w:val="12"/>
    <w:qFormat/>
    <w:uiPriority w:val="0"/>
  </w:style>
  <w:style w:type="character" w:customStyle="1" w:styleId="14">
    <w:name w:val="font71"/>
    <w:basedOn w:val="12"/>
    <w:qFormat/>
    <w:uiPriority w:val="0"/>
    <w:rPr>
      <w:rFonts w:hint="eastAsia" w:ascii="宋体" w:hAnsi="宋体" w:eastAsia="宋体" w:cs="宋体"/>
      <w:color w:val="FF0000"/>
      <w:sz w:val="20"/>
      <w:szCs w:val="20"/>
      <w:u w:val="none"/>
    </w:rPr>
  </w:style>
  <w:style w:type="character" w:customStyle="1" w:styleId="15">
    <w:name w:val="font51"/>
    <w:basedOn w:val="12"/>
    <w:qFormat/>
    <w:uiPriority w:val="0"/>
    <w:rPr>
      <w:rFonts w:ascii="楷体_GB2312" w:eastAsia="楷体_GB2312" w:cs="楷体_GB2312"/>
      <w:color w:val="000000"/>
      <w:sz w:val="20"/>
      <w:szCs w:val="20"/>
      <w:u w:val="none"/>
    </w:rPr>
  </w:style>
  <w:style w:type="character" w:customStyle="1" w:styleId="16">
    <w:name w:val="font31"/>
    <w:basedOn w:val="12"/>
    <w:qFormat/>
    <w:uiPriority w:val="0"/>
    <w:rPr>
      <w:rFonts w:hint="eastAsia" w:ascii="宋体" w:hAnsi="宋体" w:eastAsia="宋体" w:cs="宋体"/>
      <w:color w:val="000000"/>
      <w:sz w:val="20"/>
      <w:szCs w:val="20"/>
      <w:u w:val="none"/>
    </w:rPr>
  </w:style>
  <w:style w:type="character" w:customStyle="1" w:styleId="17">
    <w:name w:val="font21"/>
    <w:basedOn w:val="12"/>
    <w:qFormat/>
    <w:uiPriority w:val="0"/>
    <w:rPr>
      <w:rFonts w:hint="eastAsia" w:ascii="宋体" w:hAnsi="宋体" w:eastAsia="宋体" w:cs="宋体"/>
      <w:color w:val="FF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7665</Words>
  <Characters>8501</Characters>
  <Lines>0</Lines>
  <Paragraphs>0</Paragraphs>
  <TotalTime>12</TotalTime>
  <ScaleCrop>false</ScaleCrop>
  <LinksUpToDate>false</LinksUpToDate>
  <CharactersWithSpaces>8805</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2020-10-12T10:14:00Z</dcterms:created>
  <dc:creator>汪怡</dc:creator>
  <cp:lastModifiedBy>0℃</cp:lastModifiedBy>
  <cp:lastPrinted>2022-11-03T07:55:00Z</cp:lastPrinted>
  <dcterms:modified xsi:type="dcterms:W3CDTF">2024-12-24T02:18:39Z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5B994A1B346E452693B58BC1AEE0041A_13</vt:lpwstr>
  </property>
</Properties>
</file>