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</w:pPr>
      <w:bookmarkStart w:id="0" w:name="_Toc1124891"/>
      <w:r>
        <w:rPr>
          <w:rFonts w:hint="eastAsia"/>
        </w:rPr>
        <w:t>一</w:t>
      </w:r>
      <w:r>
        <w:rPr>
          <w:rFonts w:hint="eastAsia"/>
          <w:kern w:val="0"/>
        </w:rPr>
        <w:t>、</w:t>
      </w:r>
      <w:r>
        <w:t>政府</w:t>
      </w:r>
      <w:r>
        <w:rPr>
          <w:rFonts w:hint="eastAsia"/>
        </w:rPr>
        <w:t>债务限额及余</w:t>
      </w:r>
      <w:r>
        <w:t>额</w:t>
      </w:r>
      <w:r>
        <w:rPr>
          <w:rFonts w:hint="eastAsia"/>
        </w:rPr>
        <w:t>情况</w:t>
      </w:r>
      <w:bookmarkEnd w:id="0"/>
    </w:p>
    <w:p>
      <w:pPr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20</w:t>
      </w:r>
      <w:r>
        <w:rPr>
          <w:rFonts w:ascii="仿宋_GB2312" w:hAnsi="宋体" w:eastAsia="仿宋_GB2312" w:cs="宋体"/>
          <w:kern w:val="0"/>
          <w:sz w:val="32"/>
          <w:szCs w:val="32"/>
        </w:rPr>
        <w:t>21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年省财政厅核定我县政府债务限额为</w:t>
      </w:r>
      <w:r>
        <w:rPr>
          <w:rFonts w:ascii="仿宋_GB2312" w:hAnsi="宋体" w:eastAsia="仿宋_GB2312" w:cs="宋体"/>
          <w:kern w:val="0"/>
          <w:sz w:val="32"/>
          <w:szCs w:val="32"/>
        </w:rPr>
        <w:t>478495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万元，（其中一般债务限额</w:t>
      </w:r>
      <w:r>
        <w:rPr>
          <w:rFonts w:ascii="仿宋_GB2312" w:hAnsi="宋体" w:eastAsia="仿宋_GB2312" w:cs="宋体"/>
          <w:kern w:val="0"/>
          <w:sz w:val="32"/>
          <w:szCs w:val="32"/>
        </w:rPr>
        <w:t>227742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万元、专项债务限额</w:t>
      </w:r>
      <w:r>
        <w:rPr>
          <w:rFonts w:ascii="仿宋_GB2312" w:hAnsi="宋体" w:eastAsia="仿宋_GB2312" w:cs="宋体"/>
          <w:kern w:val="0"/>
          <w:sz w:val="32"/>
          <w:szCs w:val="32"/>
        </w:rPr>
        <w:t>250753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万元），比上年新增债务限额</w:t>
      </w:r>
      <w:r>
        <w:rPr>
          <w:rFonts w:ascii="仿宋_GB2312" w:hAnsi="宋体" w:eastAsia="仿宋_GB2312" w:cs="宋体"/>
          <w:kern w:val="0"/>
          <w:sz w:val="32"/>
          <w:szCs w:val="32"/>
        </w:rPr>
        <w:t>75441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万元（其中一般债务限额</w:t>
      </w:r>
      <w:r>
        <w:rPr>
          <w:rFonts w:ascii="仿宋_GB2312" w:hAnsi="宋体" w:eastAsia="仿宋_GB2312" w:cs="宋体"/>
          <w:kern w:val="0"/>
          <w:sz w:val="32"/>
          <w:szCs w:val="32"/>
        </w:rPr>
        <w:t>24398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万元、专项债务限额</w:t>
      </w:r>
      <w:r>
        <w:rPr>
          <w:rFonts w:ascii="仿宋_GB2312" w:hAnsi="宋体" w:eastAsia="仿宋_GB2312" w:cs="宋体"/>
          <w:kern w:val="0"/>
          <w:sz w:val="32"/>
          <w:szCs w:val="32"/>
        </w:rPr>
        <w:t>51043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万元）。</w:t>
      </w:r>
    </w:p>
    <w:p>
      <w:pPr>
        <w:ind w:firstLine="640" w:firstLineChars="200"/>
        <w:jc w:val="left"/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截止202</w:t>
      </w:r>
      <w:r>
        <w:rPr>
          <w:rFonts w:ascii="仿宋_GB2312" w:hAnsi="宋体" w:eastAsia="仿宋_GB2312" w:cs="宋体"/>
          <w:kern w:val="0"/>
          <w:sz w:val="32"/>
          <w:szCs w:val="32"/>
        </w:rPr>
        <w:t>1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年年</w:t>
      </w:r>
      <w:r>
        <w:rPr>
          <w:rFonts w:ascii="仿宋_GB2312" w:hAnsi="宋体" w:eastAsia="仿宋_GB2312" w:cs="宋体"/>
          <w:kern w:val="0"/>
          <w:sz w:val="32"/>
          <w:szCs w:val="32"/>
        </w:rPr>
        <w:t>底，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我县政府债务余额为</w:t>
      </w:r>
      <w:r>
        <w:rPr>
          <w:rFonts w:ascii="仿宋_GB2312" w:hAnsi="宋体" w:eastAsia="仿宋_GB2312" w:cs="宋体"/>
          <w:kern w:val="0"/>
          <w:sz w:val="32"/>
          <w:szCs w:val="32"/>
        </w:rPr>
        <w:t>428442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万元。按</w:t>
      </w:r>
      <w:r>
        <w:rPr>
          <w:rFonts w:ascii="仿宋_GB2312" w:hAnsi="宋体" w:eastAsia="仿宋_GB2312" w:cs="宋体"/>
          <w:kern w:val="0"/>
          <w:sz w:val="32"/>
          <w:szCs w:val="32"/>
        </w:rPr>
        <w:t>债券资金性质分: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一般债务余额</w:t>
      </w:r>
      <w:r>
        <w:rPr>
          <w:rFonts w:ascii="仿宋_GB2312" w:hAnsi="宋体" w:eastAsia="仿宋_GB2312" w:cs="宋体"/>
          <w:kern w:val="0"/>
          <w:sz w:val="32"/>
          <w:szCs w:val="32"/>
        </w:rPr>
        <w:t>200237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万元、专项债务余额</w:t>
      </w:r>
      <w:r>
        <w:rPr>
          <w:rFonts w:ascii="仿宋_GB2312" w:hAnsi="宋体" w:eastAsia="仿宋_GB2312" w:cs="宋体"/>
          <w:kern w:val="0"/>
          <w:sz w:val="32"/>
          <w:szCs w:val="32"/>
        </w:rPr>
        <w:t>228205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万元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全县债务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余额未突破限额。</w:t>
      </w:r>
    </w:p>
    <w:p>
      <w:pPr>
        <w:pStyle w:val="3"/>
      </w:pPr>
      <w:bookmarkStart w:id="1" w:name="_Toc1124892"/>
      <w:r>
        <w:rPr>
          <w:rFonts w:hint="eastAsia"/>
        </w:rPr>
        <w:t>二</w:t>
      </w:r>
      <w:r>
        <w:rPr>
          <w:rFonts w:hint="eastAsia"/>
          <w:kern w:val="0"/>
        </w:rPr>
        <w:t>、</w:t>
      </w:r>
      <w:r>
        <w:rPr>
          <w:rFonts w:hint="eastAsia"/>
        </w:rPr>
        <w:t>20</w:t>
      </w:r>
      <w:r>
        <w:t>21</w:t>
      </w:r>
      <w:r>
        <w:rPr>
          <w:rFonts w:hint="eastAsia"/>
        </w:rPr>
        <w:t>年举借</w:t>
      </w:r>
      <w:r>
        <w:t>债务</w:t>
      </w:r>
      <w:r>
        <w:rPr>
          <w:rFonts w:hint="eastAsia"/>
        </w:rPr>
        <w:t>情况说明</w:t>
      </w:r>
      <w:bookmarkEnd w:id="1"/>
    </w:p>
    <w:p>
      <w:pPr>
        <w:ind w:firstLine="640" w:firstLineChars="200"/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2021</w:t>
      </w:r>
      <w:r>
        <w:rPr>
          <w:rFonts w:hint="eastAsia" w:ascii="仿宋_GB2312" w:eastAsia="仿宋_GB2312" w:cs="仿宋_GB2312"/>
          <w:sz w:val="32"/>
          <w:szCs w:val="32"/>
        </w:rPr>
        <w:t>年省</w:t>
      </w:r>
      <w:r>
        <w:rPr>
          <w:rFonts w:ascii="仿宋_GB2312" w:eastAsia="仿宋_GB2312" w:cs="仿宋_GB2312"/>
          <w:sz w:val="32"/>
          <w:szCs w:val="32"/>
        </w:rPr>
        <w:t>财政厅转</w:t>
      </w:r>
      <w:r>
        <w:rPr>
          <w:rFonts w:hint="eastAsia" w:ascii="仿宋_GB2312" w:eastAsia="仿宋_GB2312" w:cs="仿宋_GB2312"/>
          <w:sz w:val="32"/>
          <w:szCs w:val="32"/>
        </w:rPr>
        <w:t>贷地方政府债券资金</w:t>
      </w:r>
      <w:r>
        <w:rPr>
          <w:rFonts w:ascii="仿宋_GB2312" w:eastAsia="仿宋_GB2312" w:cs="仿宋_GB2312"/>
          <w:sz w:val="32"/>
          <w:szCs w:val="32"/>
        </w:rPr>
        <w:t>73079</w:t>
      </w:r>
      <w:r>
        <w:rPr>
          <w:rFonts w:hint="eastAsia" w:ascii="仿宋_GB2312" w:eastAsia="仿宋_GB2312" w:cs="仿宋_GB2312"/>
          <w:sz w:val="32"/>
          <w:szCs w:val="32"/>
        </w:rPr>
        <w:t>万元（新增债券</w:t>
      </w:r>
      <w:r>
        <w:rPr>
          <w:rFonts w:ascii="仿宋_GB2312" w:eastAsia="仿宋_GB2312" w:cs="仿宋_GB2312"/>
          <w:sz w:val="32"/>
          <w:szCs w:val="32"/>
        </w:rPr>
        <w:t>49079</w:t>
      </w:r>
      <w:r>
        <w:rPr>
          <w:rFonts w:hint="eastAsia" w:ascii="仿宋_GB2312" w:eastAsia="仿宋_GB2312" w:cs="仿宋_GB2312"/>
          <w:sz w:val="32"/>
          <w:szCs w:val="32"/>
        </w:rPr>
        <w:t>万元，再融资债券</w:t>
      </w:r>
      <w:r>
        <w:rPr>
          <w:rFonts w:ascii="仿宋_GB2312" w:eastAsia="仿宋_GB2312" w:cs="仿宋_GB2312"/>
          <w:sz w:val="32"/>
          <w:szCs w:val="32"/>
        </w:rPr>
        <w:t>24000</w:t>
      </w:r>
      <w:r>
        <w:rPr>
          <w:rFonts w:hint="eastAsia" w:ascii="仿宋_GB2312" w:eastAsia="仿宋_GB2312" w:cs="仿宋_GB2312"/>
          <w:sz w:val="32"/>
          <w:szCs w:val="32"/>
        </w:rPr>
        <w:t>万元）。</w:t>
      </w:r>
    </w:p>
    <w:p>
      <w:pPr>
        <w:ind w:firstLine="640" w:firstLineChars="200"/>
        <w:jc w:val="left"/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新增地方政府一般债券资金13279万元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主要用于秭归县茅坪镇曲溪污水处理工程（污水处理厂）6000万元、秭归县芝兰至茅坪公路工程500万元、秭归县人民医院传染病大楼项目2500万元、秭归县易地扶贫搬迁项目1050万元、秭归县第二高级中学教学楼359万元、郭家坝至文化公路改造工程740万元、秭归县生态工业园K组团场平、道路（含管网）及防洪工程1000万元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、秭归县工人文化宫改扩建工程50万元、秭归县茅坪镇罗家村农村饮水安全巩固提升工程1000万元、秭归县小型水库安全运行项目80万元等10个项目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ind w:firstLine="640" w:firstLineChars="200"/>
        <w:jc w:val="left"/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新增专项债券35800万元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主要用于秭归县康养园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11100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万元、秭归县桂花园电站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4400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万元、秭归县梅家河电站1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200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万元、秭归县城生活垃圾分类及综合利用项目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万元、秭归县移民安置区天然气综合利用工程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6100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万元、秭归县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天问文化广场项目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6000万元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、秭归县人民医院金缸城院区（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不含门诊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综合楼）项目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4000万元等7个项目。</w:t>
      </w:r>
    </w:p>
    <w:p>
      <w:pPr>
        <w:ind w:firstLine="640" w:firstLineChars="200"/>
        <w:jc w:val="left"/>
      </w:pPr>
      <w:r>
        <w:rPr>
          <w:rFonts w:hint="eastAsia" w:ascii="仿宋_GB2312" w:eastAsia="仿宋_GB2312" w:cs="仿宋_GB2312"/>
          <w:sz w:val="32"/>
          <w:szCs w:val="32"/>
        </w:rPr>
        <w:t>再融资债券</w:t>
      </w:r>
      <w:r>
        <w:rPr>
          <w:rFonts w:ascii="仿宋_GB2312" w:eastAsia="仿宋_GB2312" w:cs="仿宋_GB2312"/>
          <w:sz w:val="32"/>
          <w:szCs w:val="32"/>
        </w:rPr>
        <w:t>24000</w:t>
      </w:r>
      <w:r>
        <w:rPr>
          <w:rFonts w:hint="eastAsia" w:ascii="仿宋_GB2312" w:eastAsia="仿宋_GB2312" w:cs="仿宋_GB2312"/>
          <w:sz w:val="32"/>
          <w:szCs w:val="32"/>
        </w:rPr>
        <w:t>万元，用于偿还20</w:t>
      </w:r>
      <w:r>
        <w:rPr>
          <w:rFonts w:ascii="仿宋_GB2312" w:eastAsia="仿宋_GB2312" w:cs="仿宋_GB2312"/>
          <w:sz w:val="32"/>
          <w:szCs w:val="32"/>
        </w:rPr>
        <w:t>21</w:t>
      </w:r>
      <w:r>
        <w:rPr>
          <w:rFonts w:hint="eastAsia" w:ascii="仿宋_GB2312" w:eastAsia="仿宋_GB2312" w:cs="仿宋_GB2312"/>
          <w:sz w:val="32"/>
          <w:szCs w:val="32"/>
        </w:rPr>
        <w:t>年到期政府债券。</w:t>
      </w:r>
    </w:p>
    <w:p>
      <w:pPr>
        <w:pStyle w:val="3"/>
      </w:pPr>
      <w:bookmarkStart w:id="2" w:name="_Toc1124893"/>
      <w:r>
        <w:rPr>
          <w:rFonts w:hint="eastAsia"/>
        </w:rPr>
        <w:t>三</w:t>
      </w:r>
      <w:r>
        <w:rPr>
          <w:rFonts w:hint="eastAsia"/>
          <w:kern w:val="0"/>
        </w:rPr>
        <w:t>、</w:t>
      </w:r>
      <w:r>
        <w:rPr>
          <w:rFonts w:hint="eastAsia"/>
        </w:rPr>
        <w:t>202</w:t>
      </w:r>
      <w:r>
        <w:t>2</w:t>
      </w:r>
      <w:r>
        <w:rPr>
          <w:rFonts w:hint="eastAsia"/>
        </w:rPr>
        <w:t>年</w:t>
      </w:r>
      <w:r>
        <w:rPr>
          <w:rFonts w:hint="eastAsia" w:ascii="仿宋_GB2312" w:hAnsi="宋体" w:eastAsia="仿宋_GB2312" w:cs="宋体"/>
          <w:color w:val="000000" w:themeColor="text1"/>
          <w:kern w:val="0"/>
          <w14:textFill>
            <w14:solidFill>
              <w14:schemeClr w14:val="tx1"/>
            </w14:solidFill>
          </w14:textFill>
        </w:rPr>
        <w:t>拟</w:t>
      </w:r>
      <w:r>
        <w:rPr>
          <w:rFonts w:hint="eastAsia"/>
        </w:rPr>
        <w:t>举借政府</w:t>
      </w:r>
      <w:r>
        <w:t>债务</w:t>
      </w:r>
      <w:r>
        <w:rPr>
          <w:rFonts w:hint="eastAsia"/>
        </w:rPr>
        <w:t>情况</w:t>
      </w:r>
      <w:bookmarkEnd w:id="2"/>
    </w:p>
    <w:p>
      <w:pPr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年拟申报新增地方政府债券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165716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万元（一般债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券</w:t>
      </w:r>
      <w:r>
        <w:rPr>
          <w:rFonts w:ascii="仿宋_GB2312" w:hAnsi="宋体" w:eastAsia="仿宋_GB2312" w:cs="宋体"/>
          <w:kern w:val="0"/>
          <w:sz w:val="32"/>
          <w:szCs w:val="32"/>
        </w:rPr>
        <w:t>47316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万元，专项债券</w:t>
      </w:r>
      <w:r>
        <w:rPr>
          <w:rFonts w:ascii="仿宋_GB2312" w:hAnsi="宋体" w:eastAsia="仿宋_GB2312" w:cs="宋体"/>
          <w:kern w:val="0"/>
          <w:sz w:val="32"/>
          <w:szCs w:val="32"/>
        </w:rPr>
        <w:t>118400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万元），再融资债券</w:t>
      </w:r>
      <w:r>
        <w:rPr>
          <w:rFonts w:ascii="仿宋_GB2312" w:hAnsi="宋体" w:eastAsia="仿宋_GB2312" w:cs="宋体"/>
          <w:kern w:val="0"/>
          <w:sz w:val="32"/>
          <w:szCs w:val="32"/>
        </w:rPr>
        <w:t>48620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万元。</w:t>
      </w:r>
    </w:p>
    <w:p>
      <w:pPr>
        <w:ind w:firstLine="640" w:firstLineChars="200"/>
        <w:jc w:val="left"/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新增地方政府一般债券资金主要用于秭归县芝兰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茅坪公路项目、秭归县郭家坝至文化公路改造工程、秭归县消防救援大队执勤备战大楼功能性改造项目、秭归县茅坪镇罗家村农村饮水安全巩固提升工程、秭归县小型水库安全运行项目、秭归县高标准农田整治项目、秭归县滨湖路改造项目、曲溪污水处理场项目、秭归县郭家坝初级中学配套设施完善项目、秭归县公安局执法办案管理中心改造项目、秭归县监管中心项目、秭归县公安派出所标准化建设项目、秭归县第二高级中学教学楼及学生宿舍项目、县工人文化宫改扩建工程、秭归县郭家坝福利院项目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个项目；</w:t>
      </w:r>
    </w:p>
    <w:p>
      <w:pPr>
        <w:ind w:firstLine="640" w:firstLineChars="200"/>
        <w:jc w:val="left"/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新增专项债券资金主要用于秭归县康养园、秭归县城生活垃圾分类及综合利用项目、秭归县天问文化广场项目、秭归县人民医院金缸城院区（不含门诊综合楼）项目、秭归县中国橙谷（水田坝）农产品交易中心项目、归州夏明翰故里红色文化研学基地配套项目、秭归县金缸城新区文体公园、秭归县九畹溪花桥河乡村旅游服务配套项目、湖北秭归经济开发区创业孵化培训基地项目、秭归县两河口镇特殊农产品开发园项目、秭归县冷链物流体系建设项目、秭归县九畹溪镇百步溪水库及供水工程项目、秭归县金缸城新区楚文化旅游街及屈原文化旅游区北区项目、秭归县产业转移示范区基础设施配套项目(一期）、秭归县城移民社区就业创业基地、秭归县茅坪镇长岭水厂、秭归县两河口镇集镇水厂工程、秭归县泄滩乡白家河水厂工程等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个项目；</w:t>
      </w:r>
    </w:p>
    <w:p>
      <w:pPr>
        <w:ind w:firstLine="640" w:firstLineChars="200"/>
        <w:jc w:val="left"/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再融资债券用于偿还2022年到期政府债券。</w:t>
      </w:r>
      <w:bookmarkStart w:id="3" w:name="_Toc1124894"/>
    </w:p>
    <w:p>
      <w:pPr>
        <w:pStyle w:val="3"/>
      </w:pPr>
      <w:r>
        <w:rPr>
          <w:rFonts w:hint="eastAsia"/>
        </w:rPr>
        <w:t>四、20</w:t>
      </w:r>
      <w:r>
        <w:t>21</w:t>
      </w:r>
      <w:r>
        <w:rPr>
          <w:rFonts w:hint="eastAsia"/>
        </w:rPr>
        <w:t>年政府</w:t>
      </w:r>
      <w:r>
        <w:t>债券还本付息情况</w:t>
      </w:r>
      <w:bookmarkEnd w:id="3"/>
    </w:p>
    <w:p>
      <w:pPr>
        <w:ind w:firstLine="640" w:firstLineChars="200"/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1年地方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政府债券还本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付息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支出合计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39081万元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，其中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地方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政府债券还本支出合计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25531万元（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地方政府一般债券还本支出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11481万元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，地方政府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专项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债券还本支出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14050万元），地方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政府债券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付息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支出合计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13550万元（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地方政府一般债券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付息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支出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6637万元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，地方政府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专项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债券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付息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支出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6913万元）。</w:t>
      </w:r>
      <w:bookmarkStart w:id="4" w:name="_Toc1124895"/>
    </w:p>
    <w:p>
      <w:pPr>
        <w:pStyle w:val="3"/>
      </w:pPr>
      <w:r>
        <w:rPr>
          <w:rFonts w:hint="eastAsia"/>
        </w:rPr>
        <w:t>五、2022年政府</w:t>
      </w:r>
      <w:r>
        <w:t>债券还本付息</w:t>
      </w:r>
      <w:r>
        <w:rPr>
          <w:rFonts w:hint="eastAsia"/>
        </w:rPr>
        <w:t>预测</w:t>
      </w:r>
      <w:r>
        <w:t>情况</w:t>
      </w:r>
      <w:bookmarkEnd w:id="4"/>
    </w:p>
    <w:p>
      <w:pPr>
        <w:ind w:firstLine="640" w:firstLineChars="200"/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预测2022年地方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政府债券还本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付息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支出合计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844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59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，其中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地方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政府债券还本支出合计69458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万元（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地方政府一般债券还本支出1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4506万元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，地方政府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专项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债券还本支出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54952万元），地方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政府债券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付息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支出合计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150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01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万元（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地方政府一般债券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付息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支出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69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，地方政府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专项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债券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付息</w:t>
      </w:r>
      <w:r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支出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810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万元）。</w:t>
      </w:r>
    </w:p>
    <w:p>
      <w:pPr>
        <w:pStyle w:val="3"/>
      </w:pPr>
      <w:r>
        <w:rPr>
          <w:rFonts w:ascii="仿宋_GB2312" w:hAnsi="宋体" w:eastAsia="仿宋_GB2312" w:cs="宋体"/>
          <w:color w:val="000000" w:themeColor="text1"/>
          <w:kern w:val="0"/>
          <w14:textFill>
            <w14:solidFill>
              <w14:schemeClr w14:val="tx1"/>
            </w14:solidFill>
          </w14:textFill>
        </w:rPr>
        <w:br w:type="page"/>
      </w:r>
    </w:p>
    <w:p>
      <w:pPr>
        <w:pStyle w:val="4"/>
        <w:jc w:val="center"/>
        <w:rPr>
          <w:rFonts w:ascii="仿宋_GB2312" w:hAnsi="宋体" w:eastAsia="仿宋_GB2312" w:cs="宋体"/>
          <w:kern w:val="0"/>
        </w:rPr>
      </w:pPr>
      <w:bookmarkStart w:id="5" w:name="_Toc1124897"/>
      <w:r>
        <w:rPr>
          <w:rFonts w:hint="eastAsia" w:ascii="仿宋_GB2312" w:hAnsi="宋体" w:eastAsia="仿宋_GB2312" w:cs="宋体"/>
          <w:kern w:val="0"/>
        </w:rPr>
        <w:t>（一）</w:t>
      </w:r>
      <w:r>
        <w:t>、政府</w:t>
      </w:r>
      <w:r>
        <w:rPr>
          <w:rFonts w:hint="eastAsia"/>
        </w:rPr>
        <w:t>债务限额及余</w:t>
      </w:r>
      <w:r>
        <w:t>额</w:t>
      </w:r>
      <w:r>
        <w:rPr>
          <w:rFonts w:hint="eastAsia"/>
        </w:rPr>
        <w:t>情况表</w:t>
      </w:r>
      <w:bookmarkEnd w:id="5"/>
    </w:p>
    <w:p>
      <w:pPr>
        <w:ind w:firstLine="6160" w:firstLineChars="2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cs="Times New Roman" w:asciiTheme="minorEastAsia" w:hAnsiTheme="minorEastAsia"/>
          <w:sz w:val="28"/>
          <w:szCs w:val="28"/>
        </w:rPr>
        <w:t>单位：万元</w:t>
      </w:r>
    </w:p>
    <w:tbl>
      <w:tblPr>
        <w:tblStyle w:val="7"/>
        <w:tblW w:w="739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6"/>
        <w:gridCol w:w="1276"/>
        <w:gridCol w:w="1418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3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0"/>
                <w:szCs w:val="20"/>
              </w:rPr>
              <w:t>项       目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0"/>
                <w:szCs w:val="20"/>
              </w:rPr>
              <w:t>20</w:t>
            </w:r>
            <w:r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  <w:t>20</w:t>
            </w:r>
            <w:r>
              <w:rPr>
                <w:rFonts w:hint="eastAsia" w:cs="宋体" w:asciiTheme="minorEastAsia" w:hAnsiTheme="minorEastAsia"/>
                <w:b/>
                <w:kern w:val="0"/>
                <w:sz w:val="20"/>
                <w:szCs w:val="20"/>
              </w:rPr>
              <w:t>年底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0"/>
                <w:szCs w:val="20"/>
              </w:rPr>
              <w:t>20</w:t>
            </w:r>
            <w:r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  <w:t>21</w:t>
            </w:r>
            <w:r>
              <w:rPr>
                <w:rFonts w:hint="eastAsia" w:cs="宋体" w:asciiTheme="minorEastAsia" w:hAnsiTheme="minorEastAsia"/>
                <w:b/>
                <w:kern w:val="0"/>
                <w:sz w:val="20"/>
                <w:szCs w:val="20"/>
              </w:rPr>
              <w:t>年底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0"/>
                <w:szCs w:val="20"/>
              </w:rPr>
              <w:t>增长+-%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32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地方政府一般债务限额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203344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227742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11.99%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32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地方政府专项债务限额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199710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250753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25.55%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32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0"/>
                <w:szCs w:val="20"/>
              </w:rPr>
              <w:t>地方政府债务限额合计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  <w:t>403054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  <w:t>478495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  <w:t>18.71%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32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地方政府一般债务余额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188489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200237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6.23%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32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地方政府专项债务余额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192405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228205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kern w:val="0"/>
                <w:sz w:val="20"/>
                <w:szCs w:val="20"/>
              </w:rPr>
              <w:t>18.6%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32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0"/>
                <w:szCs w:val="20"/>
              </w:rPr>
              <w:t>地方政府债务余额合计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  <w:t>380894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  <w:t>428442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</w:pPr>
            <w:r>
              <w:rPr>
                <w:rFonts w:cs="宋体" w:asciiTheme="minorEastAsia" w:hAnsiTheme="minorEastAsia"/>
                <w:b/>
                <w:kern w:val="0"/>
                <w:sz w:val="20"/>
                <w:szCs w:val="20"/>
              </w:rPr>
              <w:t>12.48%</w:t>
            </w:r>
          </w:p>
        </w:tc>
      </w:tr>
    </w:tbl>
    <w:p>
      <w:pPr>
        <w:pStyle w:val="4"/>
      </w:pPr>
      <w:bookmarkStart w:id="6" w:name="_Toc1124898"/>
    </w:p>
    <w:p>
      <w:pPr>
        <w:pStyle w:val="4"/>
      </w:pPr>
    </w:p>
    <w:p/>
    <w:p/>
    <w:p>
      <w:pPr>
        <w:pStyle w:val="4"/>
      </w:pPr>
    </w:p>
    <w:p/>
    <w:p/>
    <w:p>
      <w:pPr>
        <w:pStyle w:val="4"/>
        <w:jc w:val="center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pStyle w:val="4"/>
        <w:jc w:val="center"/>
      </w:pPr>
      <w:r>
        <w:rPr>
          <w:rFonts w:hint="eastAsia"/>
        </w:rPr>
        <w:t>（二）</w:t>
      </w:r>
      <w:r>
        <w:rPr>
          <w:rFonts w:hint="eastAsia"/>
          <w:kern w:val="0"/>
        </w:rPr>
        <w:t>、</w:t>
      </w:r>
      <w:r>
        <w:rPr>
          <w:rFonts w:hint="eastAsia"/>
        </w:rPr>
        <w:t>政府</w:t>
      </w:r>
      <w:r>
        <w:t>债券还本付息情况</w:t>
      </w:r>
      <w:r>
        <w:rPr>
          <w:rFonts w:hint="eastAsia"/>
        </w:rPr>
        <w:t>表</w:t>
      </w:r>
      <w:bookmarkEnd w:id="6"/>
    </w:p>
    <w:p>
      <w:pPr>
        <w:ind w:firstLine="6160" w:firstLineChars="2200"/>
        <w:jc w:val="center"/>
      </w:pPr>
      <w:r>
        <w:rPr>
          <w:rFonts w:hint="eastAsia" w:cs="Times New Roman" w:asciiTheme="minorEastAsia" w:hAnsiTheme="minorEastAsia"/>
          <w:sz w:val="28"/>
          <w:szCs w:val="28"/>
        </w:rPr>
        <w:t>单位：万元</w:t>
      </w:r>
    </w:p>
    <w:tbl>
      <w:tblPr>
        <w:tblStyle w:val="7"/>
        <w:tblW w:w="748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0"/>
        <w:gridCol w:w="1760"/>
        <w:gridCol w:w="1887"/>
        <w:gridCol w:w="15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项   目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20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  <w:t>21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年预算数</w:t>
            </w:r>
          </w:p>
        </w:tc>
        <w:tc>
          <w:tcPr>
            <w:tcW w:w="1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202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年预算数</w:t>
            </w:r>
          </w:p>
        </w:tc>
        <w:tc>
          <w:tcPr>
            <w:tcW w:w="15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增长+-%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一般债券还本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11481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14506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26.3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专项债券还本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14050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54952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291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.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债券还本合计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  <w:t>25531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69458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172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  <w:t>.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0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一般债券付息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6469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6900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6.66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专项债券付息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6913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17.19%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债券付息合计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  <w:t>13382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150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01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2.10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债券还本付息合计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  <w:t>38913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844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59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bookmarkStart w:id="7" w:name="_GoBack"/>
            <w:bookmarkEnd w:id="7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117.0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%</w:t>
            </w:r>
          </w:p>
        </w:tc>
      </w:tr>
    </w:tbl>
    <w:p>
      <w:pPr>
        <w:widowControl/>
        <w:jc w:val="center"/>
        <w:rPr>
          <w:rFonts w:ascii="仿宋_GB2312" w:hAnsi="宋体" w:eastAsia="仿宋_GB2312" w:cs="宋体"/>
          <w:color w:val="FF0000"/>
          <w:kern w:val="0"/>
          <w:sz w:val="32"/>
          <w:szCs w:val="32"/>
        </w:rPr>
      </w:pPr>
    </w:p>
    <w:p>
      <w:pPr>
        <w:widowControl/>
        <w:jc w:val="center"/>
        <w:rPr>
          <w:rFonts w:ascii="仿宋_GB2312" w:hAnsi="宋体" w:eastAsia="仿宋_GB2312" w:cs="宋体"/>
          <w:color w:val="FF0000"/>
          <w:kern w:val="0"/>
          <w:sz w:val="32"/>
          <w:szCs w:val="32"/>
        </w:rPr>
      </w:pPr>
    </w:p>
    <w:p>
      <w:pPr>
        <w:widowControl/>
        <w:jc w:val="center"/>
        <w:rPr>
          <w:rFonts w:ascii="仿宋_GB2312" w:hAnsi="宋体" w:eastAsia="仿宋_GB2312" w:cs="宋体"/>
          <w:color w:val="FF0000"/>
          <w:kern w:val="0"/>
          <w:sz w:val="32"/>
          <w:szCs w:val="32"/>
        </w:rPr>
      </w:pPr>
    </w:p>
    <w:p>
      <w:pPr>
        <w:widowControl/>
        <w:jc w:val="center"/>
        <w:rPr>
          <w:rFonts w:ascii="仿宋_GB2312" w:hAnsi="宋体" w:eastAsia="仿宋_GB2312" w:cs="宋体"/>
          <w:color w:val="FF0000"/>
          <w:kern w:val="0"/>
          <w:sz w:val="32"/>
          <w:szCs w:val="32"/>
        </w:rPr>
      </w:pPr>
    </w:p>
    <w:p>
      <w:pPr>
        <w:widowControl/>
        <w:jc w:val="center"/>
        <w:rPr>
          <w:rFonts w:ascii="仿宋_GB2312" w:hAnsi="宋体" w:eastAsia="仿宋_GB2312" w:cs="宋体"/>
          <w:color w:val="FF0000"/>
          <w:kern w:val="0"/>
          <w:sz w:val="32"/>
          <w:szCs w:val="32"/>
        </w:rPr>
      </w:pPr>
    </w:p>
    <w:p>
      <w:pPr>
        <w:widowControl/>
        <w:jc w:val="center"/>
        <w:rPr>
          <w:rFonts w:ascii="仿宋_GB2312" w:hAnsi="宋体" w:eastAsia="仿宋_GB2312" w:cs="宋体"/>
          <w:color w:val="FF0000"/>
          <w:kern w:val="0"/>
          <w:sz w:val="32"/>
          <w:szCs w:val="32"/>
        </w:rPr>
      </w:pPr>
    </w:p>
    <w:p>
      <w:pPr>
        <w:widowControl/>
        <w:jc w:val="center"/>
        <w:rPr>
          <w:rFonts w:ascii="仿宋_GB2312" w:hAnsi="宋体" w:eastAsia="仿宋_GB2312" w:cs="宋体"/>
          <w:color w:val="FF0000"/>
          <w:kern w:val="0"/>
          <w:sz w:val="32"/>
          <w:szCs w:val="32"/>
        </w:rPr>
      </w:pPr>
    </w:p>
    <w:p>
      <w:pPr>
        <w:widowControl/>
        <w:jc w:val="center"/>
        <w:rPr>
          <w:rFonts w:ascii="仿宋_GB2312" w:hAnsi="宋体" w:eastAsia="仿宋_GB2312" w:cs="宋体"/>
          <w:color w:val="FF0000"/>
          <w:kern w:val="0"/>
          <w:sz w:val="32"/>
          <w:szCs w:val="32"/>
        </w:rPr>
      </w:pPr>
    </w:p>
    <w:p>
      <w:pPr>
        <w:widowControl/>
        <w:jc w:val="center"/>
        <w:rPr>
          <w:rFonts w:ascii="仿宋_GB2312" w:hAnsi="宋体" w:eastAsia="仿宋_GB2312" w:cs="宋体"/>
          <w:color w:val="FF0000"/>
          <w:kern w:val="0"/>
          <w:sz w:val="32"/>
          <w:szCs w:val="32"/>
        </w:rPr>
      </w:pPr>
    </w:p>
    <w:p>
      <w:pPr>
        <w:widowControl/>
        <w:jc w:val="center"/>
        <w:rPr>
          <w:rFonts w:ascii="仿宋_GB2312" w:hAnsi="宋体" w:eastAsia="仿宋_GB2312" w:cs="宋体"/>
          <w:color w:val="FF0000"/>
          <w:kern w:val="0"/>
          <w:sz w:val="32"/>
          <w:szCs w:val="32"/>
        </w:rPr>
      </w:pPr>
    </w:p>
    <w:p>
      <w:pPr>
        <w:widowControl/>
        <w:jc w:val="center"/>
        <w:rPr>
          <w:rFonts w:ascii="仿宋_GB2312" w:hAnsi="宋体" w:eastAsia="仿宋_GB2312" w:cs="宋体"/>
          <w:color w:val="FF0000"/>
          <w:kern w:val="0"/>
          <w:sz w:val="32"/>
          <w:szCs w:val="32"/>
        </w:rPr>
      </w:pPr>
    </w:p>
    <w:p>
      <w:pPr>
        <w:widowControl/>
        <w:jc w:val="center"/>
        <w:rPr>
          <w:rFonts w:ascii="仿宋_GB2312" w:hAnsi="宋体" w:eastAsia="仿宋_GB2312" w:cs="宋体"/>
          <w:color w:val="FF000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5ZDUwYTc0ODZmNGFlZWRiMjA5ZjBhMTdlOTczY2QifQ=="/>
  </w:docVars>
  <w:rsids>
    <w:rsidRoot w:val="00002053"/>
    <w:rsid w:val="00002053"/>
    <w:rsid w:val="000553E0"/>
    <w:rsid w:val="00080F7A"/>
    <w:rsid w:val="0008263D"/>
    <w:rsid w:val="000E1FDC"/>
    <w:rsid w:val="000E37FF"/>
    <w:rsid w:val="00135392"/>
    <w:rsid w:val="00154616"/>
    <w:rsid w:val="001F593C"/>
    <w:rsid w:val="00226A48"/>
    <w:rsid w:val="00290C75"/>
    <w:rsid w:val="002F257D"/>
    <w:rsid w:val="002F657E"/>
    <w:rsid w:val="003002C9"/>
    <w:rsid w:val="00311E37"/>
    <w:rsid w:val="00366C97"/>
    <w:rsid w:val="003761EB"/>
    <w:rsid w:val="00396AE7"/>
    <w:rsid w:val="0044072E"/>
    <w:rsid w:val="00480AB7"/>
    <w:rsid w:val="004E3907"/>
    <w:rsid w:val="004F0840"/>
    <w:rsid w:val="00502847"/>
    <w:rsid w:val="005B6BB6"/>
    <w:rsid w:val="005E0152"/>
    <w:rsid w:val="005E2A3F"/>
    <w:rsid w:val="00605C90"/>
    <w:rsid w:val="0060675D"/>
    <w:rsid w:val="006A16FA"/>
    <w:rsid w:val="00734F59"/>
    <w:rsid w:val="007444E7"/>
    <w:rsid w:val="00745B91"/>
    <w:rsid w:val="0074797F"/>
    <w:rsid w:val="00750360"/>
    <w:rsid w:val="0077654D"/>
    <w:rsid w:val="00793735"/>
    <w:rsid w:val="007D5E58"/>
    <w:rsid w:val="007E06D9"/>
    <w:rsid w:val="007E468A"/>
    <w:rsid w:val="00824907"/>
    <w:rsid w:val="008340C2"/>
    <w:rsid w:val="008E7E7F"/>
    <w:rsid w:val="008F3F46"/>
    <w:rsid w:val="009211D3"/>
    <w:rsid w:val="009572AB"/>
    <w:rsid w:val="00961BB6"/>
    <w:rsid w:val="00965C91"/>
    <w:rsid w:val="00971AD3"/>
    <w:rsid w:val="00975F22"/>
    <w:rsid w:val="0099564D"/>
    <w:rsid w:val="009C3D0F"/>
    <w:rsid w:val="00A52B5F"/>
    <w:rsid w:val="00A81893"/>
    <w:rsid w:val="00A908EA"/>
    <w:rsid w:val="00AB09D0"/>
    <w:rsid w:val="00AB3CA8"/>
    <w:rsid w:val="00AB41AF"/>
    <w:rsid w:val="00AF46D5"/>
    <w:rsid w:val="00AF7D44"/>
    <w:rsid w:val="00B40F13"/>
    <w:rsid w:val="00B45B7C"/>
    <w:rsid w:val="00BC0C2B"/>
    <w:rsid w:val="00BD52CC"/>
    <w:rsid w:val="00BD74C6"/>
    <w:rsid w:val="00BE2354"/>
    <w:rsid w:val="00C2393D"/>
    <w:rsid w:val="00C359C9"/>
    <w:rsid w:val="00C65341"/>
    <w:rsid w:val="00CB63C1"/>
    <w:rsid w:val="00CB6AC2"/>
    <w:rsid w:val="00CC1597"/>
    <w:rsid w:val="00D60B73"/>
    <w:rsid w:val="00D7652A"/>
    <w:rsid w:val="00DC4F13"/>
    <w:rsid w:val="00DD3334"/>
    <w:rsid w:val="00E05E4B"/>
    <w:rsid w:val="00E33643"/>
    <w:rsid w:val="00E5270F"/>
    <w:rsid w:val="00E52D9E"/>
    <w:rsid w:val="00E71AC6"/>
    <w:rsid w:val="00E774AC"/>
    <w:rsid w:val="00EC4605"/>
    <w:rsid w:val="00ED2F06"/>
    <w:rsid w:val="00ED506A"/>
    <w:rsid w:val="00EE0DC7"/>
    <w:rsid w:val="00EE6944"/>
    <w:rsid w:val="00F0554A"/>
    <w:rsid w:val="00F11E80"/>
    <w:rsid w:val="00F47592"/>
    <w:rsid w:val="00FC6A08"/>
    <w:rsid w:val="00FF55F2"/>
    <w:rsid w:val="11277C06"/>
    <w:rsid w:val="15F64C88"/>
    <w:rsid w:val="22126EF0"/>
    <w:rsid w:val="38FB7E2C"/>
    <w:rsid w:val="3F852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标题 1 Char"/>
    <w:basedOn w:val="9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3">
    <w:name w:val="标题 2 Char"/>
    <w:basedOn w:val="9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标题 3 Char"/>
    <w:basedOn w:val="9"/>
    <w:link w:val="4"/>
    <w:qFormat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338</Words>
  <Characters>1927</Characters>
  <Lines>16</Lines>
  <Paragraphs>4</Paragraphs>
  <TotalTime>22</TotalTime>
  <ScaleCrop>false</ScaleCrop>
  <LinksUpToDate>false</LinksUpToDate>
  <CharactersWithSpaces>2261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2022-02-23T10:39:00Z</dcterms:created>
  <dc:creator>财政局办公室</dc:creator>
  <cp:lastModifiedBy>WPS_1610932772</cp:lastModifiedBy>
  <cp:lastPrinted>2023-08-16T02:00:44Z</cp:lastPrinted>
  <dcterms:modified xsi:type="dcterms:W3CDTF">2023-08-16T02:13:55Z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AD79767FFB11474E8221A96E88F0BE7B_13</vt:lpwstr>
  </property>
</Properties>
</file>