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napToGrid w:val="0"/>
        <w:spacing w:line="560" w:lineRule="exact"/>
        <w:jc w:val="center"/>
        <w:rPr>
          <w:rFonts w:ascii="方正小标宋简体" w:hAnsi="黑体" w:eastAsia="方正小标宋简体"/>
          <w:color w:val="auto"/>
          <w:sz w:val="44"/>
          <w:szCs w:val="44"/>
          <w:highlight w:val="none"/>
        </w:rPr>
      </w:pPr>
      <w:r>
        <w:rPr>
          <w:rFonts w:hint="eastAsia" w:ascii="方正小标宋简体" w:hAnsi="黑体" w:eastAsia="方正小标宋简体"/>
          <w:color w:val="auto"/>
          <w:sz w:val="44"/>
          <w:szCs w:val="44"/>
          <w:highlight w:val="none"/>
        </w:rPr>
        <w:t>关于秭归县202</w:t>
      </w:r>
      <w:r>
        <w:rPr>
          <w:rFonts w:hint="eastAsia" w:ascii="方正小标宋简体" w:hAnsi="黑体" w:eastAsia="方正小标宋简体"/>
          <w:color w:val="auto"/>
          <w:sz w:val="44"/>
          <w:szCs w:val="44"/>
          <w:highlight w:val="none"/>
          <w:lang w:val="en-US" w:eastAsia="zh-CN"/>
        </w:rPr>
        <w:t>1</w:t>
      </w:r>
      <w:r>
        <w:rPr>
          <w:rFonts w:hint="eastAsia" w:ascii="方正小标宋简体" w:hAnsi="黑体" w:eastAsia="方正小标宋简体"/>
          <w:color w:val="auto"/>
          <w:sz w:val="44"/>
          <w:szCs w:val="44"/>
          <w:highlight w:val="none"/>
        </w:rPr>
        <w:t>年预算执行情况</w:t>
      </w:r>
    </w:p>
    <w:p>
      <w:pPr>
        <w:keepNext w:val="0"/>
        <w:keepLines w:val="0"/>
        <w:pageBreakBefore w:val="0"/>
        <w:kinsoku/>
        <w:wordWrap/>
        <w:overflowPunct/>
        <w:topLinePunct w:val="0"/>
        <w:autoSpaceDE/>
        <w:autoSpaceDN/>
        <w:bidi w:val="0"/>
        <w:snapToGrid w:val="0"/>
        <w:spacing w:line="560" w:lineRule="exact"/>
        <w:jc w:val="center"/>
        <w:rPr>
          <w:rFonts w:ascii="方正小标宋简体" w:hAnsi="黑体" w:eastAsia="方正小标宋简体"/>
          <w:color w:val="auto"/>
          <w:sz w:val="44"/>
          <w:szCs w:val="44"/>
          <w:highlight w:val="none"/>
        </w:rPr>
      </w:pPr>
      <w:r>
        <w:rPr>
          <w:rFonts w:hint="eastAsia" w:ascii="方正小标宋简体" w:hAnsi="黑体" w:eastAsia="方正小标宋简体"/>
          <w:color w:val="auto"/>
          <w:sz w:val="44"/>
          <w:szCs w:val="44"/>
          <w:highlight w:val="none"/>
        </w:rPr>
        <w:t>和202</w:t>
      </w:r>
      <w:r>
        <w:rPr>
          <w:rFonts w:hint="eastAsia" w:ascii="方正小标宋简体" w:hAnsi="黑体" w:eastAsia="方正小标宋简体"/>
          <w:color w:val="auto"/>
          <w:sz w:val="44"/>
          <w:szCs w:val="44"/>
          <w:highlight w:val="none"/>
          <w:lang w:val="en-US" w:eastAsia="zh-CN"/>
        </w:rPr>
        <w:t>2</w:t>
      </w:r>
      <w:r>
        <w:rPr>
          <w:rFonts w:hint="eastAsia" w:ascii="方正小标宋简体" w:hAnsi="黑体" w:eastAsia="方正小标宋简体"/>
          <w:color w:val="auto"/>
          <w:sz w:val="44"/>
          <w:szCs w:val="44"/>
          <w:highlight w:val="none"/>
        </w:rPr>
        <w:t>年预算草案的报告</w:t>
      </w:r>
    </w:p>
    <w:p>
      <w:pPr>
        <w:keepNext w:val="0"/>
        <w:keepLines w:val="0"/>
        <w:pageBreakBefore w:val="0"/>
        <w:kinsoku/>
        <w:wordWrap/>
        <w:overflowPunct/>
        <w:topLinePunct w:val="0"/>
        <w:autoSpaceDE/>
        <w:autoSpaceDN/>
        <w:bidi w:val="0"/>
        <w:snapToGrid w:val="0"/>
        <w:spacing w:line="560" w:lineRule="exact"/>
        <w:jc w:val="center"/>
        <w:rPr>
          <w:rFonts w:ascii="楷体" w:hAnsi="楷体" w:eastAsia="楷体"/>
          <w:color w:val="auto"/>
          <w:spacing w:val="-20"/>
          <w:sz w:val="44"/>
          <w:highlight w:val="none"/>
        </w:rPr>
      </w:pPr>
      <w:r>
        <w:rPr>
          <w:rFonts w:hint="eastAsia" w:ascii="楷体" w:hAnsi="楷体" w:eastAsia="楷体"/>
          <w:color w:val="auto"/>
          <w:spacing w:val="-20"/>
          <w:sz w:val="32"/>
          <w:szCs w:val="32"/>
          <w:highlight w:val="none"/>
        </w:rPr>
        <w:t>（202</w:t>
      </w:r>
      <w:r>
        <w:rPr>
          <w:rFonts w:hint="eastAsia" w:ascii="楷体" w:hAnsi="楷体" w:eastAsia="楷体"/>
          <w:color w:val="auto"/>
          <w:spacing w:val="-20"/>
          <w:sz w:val="32"/>
          <w:szCs w:val="32"/>
          <w:highlight w:val="none"/>
          <w:lang w:val="en-US" w:eastAsia="zh-CN"/>
        </w:rPr>
        <w:t>2</w:t>
      </w:r>
      <w:r>
        <w:rPr>
          <w:rFonts w:hint="eastAsia" w:ascii="楷体" w:hAnsi="楷体" w:eastAsia="楷体"/>
          <w:color w:val="auto"/>
          <w:spacing w:val="-20"/>
          <w:sz w:val="32"/>
          <w:szCs w:val="32"/>
          <w:highlight w:val="none"/>
        </w:rPr>
        <w:t>年</w:t>
      </w:r>
      <w:r>
        <w:rPr>
          <w:rFonts w:hint="eastAsia" w:ascii="楷体" w:hAnsi="楷体" w:eastAsia="楷体"/>
          <w:color w:val="auto"/>
          <w:spacing w:val="-20"/>
          <w:sz w:val="32"/>
          <w:szCs w:val="32"/>
          <w:highlight w:val="none"/>
          <w:lang w:val="en-US" w:eastAsia="zh-CN"/>
        </w:rPr>
        <w:t>2</w:t>
      </w:r>
      <w:r>
        <w:rPr>
          <w:rFonts w:hint="eastAsia" w:ascii="楷体" w:hAnsi="楷体" w:eastAsia="楷体"/>
          <w:color w:val="auto"/>
          <w:spacing w:val="-20"/>
          <w:sz w:val="32"/>
          <w:szCs w:val="32"/>
          <w:highlight w:val="none"/>
        </w:rPr>
        <w:t>月</w:t>
      </w:r>
      <w:r>
        <w:rPr>
          <w:rFonts w:hint="eastAsia" w:ascii="楷体" w:hAnsi="楷体" w:eastAsia="楷体"/>
          <w:color w:val="auto"/>
          <w:spacing w:val="-20"/>
          <w:sz w:val="32"/>
          <w:szCs w:val="32"/>
          <w:highlight w:val="none"/>
          <w:lang w:val="en-US" w:eastAsia="zh-CN"/>
        </w:rPr>
        <w:t>11</w:t>
      </w:r>
      <w:r>
        <w:rPr>
          <w:rFonts w:hint="eastAsia" w:ascii="楷体" w:hAnsi="楷体" w:eastAsia="楷体"/>
          <w:color w:val="auto"/>
          <w:spacing w:val="-20"/>
          <w:sz w:val="32"/>
          <w:szCs w:val="32"/>
          <w:highlight w:val="none"/>
        </w:rPr>
        <w:t>日在秭归县第十</w:t>
      </w:r>
      <w:r>
        <w:rPr>
          <w:rFonts w:hint="eastAsia" w:ascii="楷体" w:hAnsi="楷体" w:eastAsia="楷体"/>
          <w:color w:val="auto"/>
          <w:spacing w:val="-20"/>
          <w:sz w:val="32"/>
          <w:szCs w:val="32"/>
          <w:highlight w:val="none"/>
          <w:lang w:eastAsia="zh-CN"/>
        </w:rPr>
        <w:t>九</w:t>
      </w:r>
      <w:r>
        <w:rPr>
          <w:rFonts w:hint="eastAsia" w:ascii="楷体" w:hAnsi="楷体" w:eastAsia="楷体"/>
          <w:color w:val="auto"/>
          <w:spacing w:val="-20"/>
          <w:sz w:val="32"/>
          <w:szCs w:val="32"/>
          <w:highlight w:val="none"/>
        </w:rPr>
        <w:t>届人民代表大会第</w:t>
      </w:r>
      <w:r>
        <w:rPr>
          <w:rFonts w:hint="eastAsia" w:ascii="楷体" w:hAnsi="楷体" w:eastAsia="楷体"/>
          <w:color w:val="auto"/>
          <w:spacing w:val="-20"/>
          <w:sz w:val="32"/>
          <w:szCs w:val="32"/>
          <w:highlight w:val="none"/>
          <w:lang w:eastAsia="zh-CN"/>
        </w:rPr>
        <w:t>二</w:t>
      </w:r>
      <w:r>
        <w:rPr>
          <w:rFonts w:hint="eastAsia" w:ascii="楷体" w:hAnsi="楷体" w:eastAsia="楷体"/>
          <w:color w:val="auto"/>
          <w:spacing w:val="-20"/>
          <w:sz w:val="32"/>
          <w:szCs w:val="32"/>
          <w:highlight w:val="none"/>
        </w:rPr>
        <w:t>次会议上）</w:t>
      </w:r>
    </w:p>
    <w:p>
      <w:pPr>
        <w:keepNext w:val="0"/>
        <w:keepLines w:val="0"/>
        <w:pageBreakBefore w:val="0"/>
        <w:kinsoku/>
        <w:wordWrap/>
        <w:overflowPunct/>
        <w:topLinePunct w:val="0"/>
        <w:autoSpaceDE/>
        <w:autoSpaceDN/>
        <w:bidi w:val="0"/>
        <w:snapToGrid w:val="0"/>
        <w:spacing w:line="560" w:lineRule="exact"/>
        <w:jc w:val="center"/>
        <w:rPr>
          <w:rFonts w:ascii="楷体" w:hAnsi="楷体" w:eastAsia="楷体"/>
          <w:color w:val="auto"/>
          <w:sz w:val="32"/>
          <w:szCs w:val="32"/>
          <w:highlight w:val="none"/>
        </w:rPr>
      </w:pPr>
      <w:r>
        <w:rPr>
          <w:rFonts w:hint="eastAsia" w:ascii="楷体" w:hAnsi="楷体" w:eastAsia="楷体"/>
          <w:color w:val="auto"/>
          <w:sz w:val="32"/>
          <w:szCs w:val="32"/>
          <w:highlight w:val="none"/>
        </w:rPr>
        <w:t>秭归县财政局</w:t>
      </w:r>
    </w:p>
    <w:p>
      <w:pPr>
        <w:keepNext w:val="0"/>
        <w:keepLines w:val="0"/>
        <w:pageBreakBefore w:val="0"/>
        <w:widowControl/>
        <w:shd w:val="clear" w:color="auto" w:fill="FFFFFF"/>
        <w:kinsoku/>
        <w:wordWrap/>
        <w:overflowPunct/>
        <w:topLinePunct w:val="0"/>
        <w:autoSpaceDE/>
        <w:autoSpaceDN/>
        <w:bidi w:val="0"/>
        <w:spacing w:line="560" w:lineRule="exact"/>
        <w:jc w:val="left"/>
        <w:rPr>
          <w:rFonts w:ascii="仿宋_GB2312" w:hAnsi="宋体" w:eastAsia="仿宋_GB2312" w:cs="宋体"/>
          <w:color w:val="auto"/>
          <w:kern w:val="0"/>
          <w:sz w:val="32"/>
          <w:szCs w:val="32"/>
          <w:highlight w:val="none"/>
        </w:rPr>
      </w:pPr>
    </w:p>
    <w:p>
      <w:pPr>
        <w:keepNext w:val="0"/>
        <w:keepLines w:val="0"/>
        <w:pageBreakBefore w:val="0"/>
        <w:kinsoku/>
        <w:wordWrap/>
        <w:overflowPunct/>
        <w:topLinePunct w:val="0"/>
        <w:autoSpaceDE/>
        <w:autoSpaceDN/>
        <w:bidi w:val="0"/>
        <w:spacing w:line="560" w:lineRule="exact"/>
        <w:rPr>
          <w:rFonts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各位代表：</w:t>
      </w:r>
    </w:p>
    <w:p>
      <w:pPr>
        <w:keepNext w:val="0"/>
        <w:keepLines w:val="0"/>
        <w:pageBreakBefore w:val="0"/>
        <w:kinsoku/>
        <w:wordWrap/>
        <w:overflowPunct/>
        <w:topLinePunct w:val="0"/>
        <w:autoSpaceDE/>
        <w:autoSpaceDN/>
        <w:bidi w:val="0"/>
        <w:spacing w:line="560" w:lineRule="exact"/>
        <w:ind w:firstLine="640" w:firstLineChars="200"/>
        <w:rPr>
          <w:rFonts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受县人民政府委托，现向大会报告20</w:t>
      </w:r>
      <w:r>
        <w:rPr>
          <w:rFonts w:hint="eastAsia" w:ascii="仿宋_GB2312" w:hAnsi="仿宋" w:eastAsia="仿宋_GB2312" w:cs="仿宋"/>
          <w:color w:val="auto"/>
          <w:sz w:val="32"/>
          <w:szCs w:val="32"/>
          <w:highlight w:val="none"/>
          <w:lang w:val="en-US" w:eastAsia="zh-CN"/>
        </w:rPr>
        <w:t>21</w:t>
      </w:r>
      <w:r>
        <w:rPr>
          <w:rFonts w:hint="eastAsia" w:ascii="仿宋_GB2312" w:hAnsi="仿宋" w:eastAsia="仿宋_GB2312" w:cs="仿宋"/>
          <w:color w:val="auto"/>
          <w:sz w:val="32"/>
          <w:szCs w:val="32"/>
          <w:highlight w:val="none"/>
        </w:rPr>
        <w:t>年预算执行情况和202</w:t>
      </w:r>
      <w:r>
        <w:rPr>
          <w:rFonts w:hint="eastAsia" w:ascii="仿宋_GB2312" w:hAnsi="仿宋" w:eastAsia="仿宋_GB2312" w:cs="仿宋"/>
          <w:color w:val="auto"/>
          <w:sz w:val="32"/>
          <w:szCs w:val="32"/>
          <w:highlight w:val="none"/>
          <w:lang w:val="en-US" w:eastAsia="zh-CN"/>
        </w:rPr>
        <w:t>2</w:t>
      </w:r>
      <w:r>
        <w:rPr>
          <w:rFonts w:hint="eastAsia" w:ascii="仿宋_GB2312" w:hAnsi="仿宋" w:eastAsia="仿宋_GB2312" w:cs="仿宋"/>
          <w:color w:val="auto"/>
          <w:sz w:val="32"/>
          <w:szCs w:val="32"/>
          <w:highlight w:val="none"/>
        </w:rPr>
        <w:t>年预算草案，请予审议，并请县政协委员和其他列席人员提出意见。</w:t>
      </w:r>
    </w:p>
    <w:p>
      <w:pPr>
        <w:keepNext w:val="0"/>
        <w:keepLines w:val="0"/>
        <w:pageBreakBefore w:val="0"/>
        <w:kinsoku/>
        <w:wordWrap/>
        <w:overflowPunct/>
        <w:topLinePunct w:val="0"/>
        <w:autoSpaceDE/>
        <w:autoSpaceDN/>
        <w:bidi w:val="0"/>
        <w:spacing w:line="560" w:lineRule="exact"/>
        <w:ind w:firstLine="640" w:firstLineChars="20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一、202</w:t>
      </w:r>
      <w:r>
        <w:rPr>
          <w:rFonts w:hint="eastAsia" w:ascii="黑体" w:hAnsi="黑体" w:eastAsia="黑体" w:cs="黑体"/>
          <w:color w:val="auto"/>
          <w:sz w:val="32"/>
          <w:szCs w:val="32"/>
          <w:highlight w:val="none"/>
          <w:lang w:val="en-US" w:eastAsia="zh-CN"/>
        </w:rPr>
        <w:t>1</w:t>
      </w:r>
      <w:r>
        <w:rPr>
          <w:rFonts w:hint="eastAsia" w:ascii="黑体" w:hAnsi="黑体" w:eastAsia="黑体" w:cs="黑体"/>
          <w:color w:val="auto"/>
          <w:sz w:val="32"/>
          <w:szCs w:val="32"/>
          <w:highlight w:val="none"/>
        </w:rPr>
        <w:t>年预算执行情况</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2021年，在</w:t>
      </w:r>
      <w:r>
        <w:rPr>
          <w:rFonts w:hint="eastAsia" w:ascii="仿宋_GB2312" w:hAnsi="仿宋" w:eastAsia="仿宋_GB2312" w:cs="仿宋"/>
          <w:color w:val="auto"/>
          <w:sz w:val="32"/>
          <w:szCs w:val="32"/>
          <w:highlight w:val="none"/>
          <w:lang w:eastAsia="zh-CN"/>
        </w:rPr>
        <w:t>县</w:t>
      </w:r>
      <w:r>
        <w:rPr>
          <w:rFonts w:hint="eastAsia" w:ascii="仿宋_GB2312" w:hAnsi="仿宋" w:eastAsia="仿宋_GB2312" w:cs="仿宋"/>
          <w:color w:val="auto"/>
          <w:sz w:val="32"/>
          <w:szCs w:val="32"/>
          <w:highlight w:val="none"/>
        </w:rPr>
        <w:t>委的正确领导下，在</w:t>
      </w:r>
      <w:r>
        <w:rPr>
          <w:rFonts w:hint="eastAsia" w:ascii="仿宋_GB2312" w:hAnsi="仿宋" w:eastAsia="仿宋_GB2312" w:cs="仿宋"/>
          <w:color w:val="auto"/>
          <w:sz w:val="32"/>
          <w:szCs w:val="32"/>
          <w:highlight w:val="none"/>
          <w:lang w:eastAsia="zh-CN"/>
        </w:rPr>
        <w:t>县</w:t>
      </w:r>
      <w:r>
        <w:rPr>
          <w:rFonts w:hint="eastAsia" w:ascii="仿宋_GB2312" w:hAnsi="仿宋" w:eastAsia="仿宋_GB2312" w:cs="仿宋"/>
          <w:color w:val="auto"/>
          <w:sz w:val="32"/>
          <w:szCs w:val="32"/>
          <w:highlight w:val="none"/>
        </w:rPr>
        <w:t>人大</w:t>
      </w:r>
      <w:r>
        <w:rPr>
          <w:rFonts w:hint="eastAsia" w:ascii="仿宋_GB2312" w:hAnsi="仿宋" w:eastAsia="仿宋_GB2312" w:cs="仿宋"/>
          <w:color w:val="auto"/>
          <w:sz w:val="32"/>
          <w:szCs w:val="32"/>
          <w:highlight w:val="none"/>
          <w:lang w:eastAsia="zh-CN"/>
        </w:rPr>
        <w:t>、县</w:t>
      </w:r>
      <w:r>
        <w:rPr>
          <w:rFonts w:hint="eastAsia" w:ascii="仿宋_GB2312" w:hAnsi="仿宋" w:eastAsia="仿宋_GB2312" w:cs="仿宋"/>
          <w:color w:val="auto"/>
          <w:sz w:val="32"/>
          <w:szCs w:val="32"/>
          <w:highlight w:val="none"/>
        </w:rPr>
        <w:t>政协的监督支持下，深入学习贯彻党的十九大和十九届</w:t>
      </w:r>
      <w:r>
        <w:rPr>
          <w:rFonts w:hint="eastAsia" w:ascii="仿宋_GB2312" w:hAnsi="仿宋" w:eastAsia="仿宋_GB2312" w:cs="仿宋"/>
          <w:color w:val="auto"/>
          <w:sz w:val="32"/>
          <w:szCs w:val="32"/>
          <w:highlight w:val="none"/>
          <w:lang w:eastAsia="zh-CN"/>
        </w:rPr>
        <w:t>历次</w:t>
      </w:r>
      <w:r>
        <w:rPr>
          <w:rFonts w:hint="eastAsia" w:ascii="仿宋_GB2312" w:hAnsi="仿宋" w:eastAsia="仿宋_GB2312" w:cs="仿宋"/>
          <w:color w:val="auto"/>
          <w:sz w:val="32"/>
          <w:szCs w:val="32"/>
          <w:highlight w:val="none"/>
        </w:rPr>
        <w:t>全会精神，</w:t>
      </w:r>
      <w:r>
        <w:rPr>
          <w:rFonts w:hint="eastAsia" w:ascii="仿宋_GB2312" w:hAnsi="仿宋" w:eastAsia="仿宋_GB2312" w:cs="仿宋"/>
          <w:color w:val="auto"/>
          <w:sz w:val="32"/>
          <w:szCs w:val="32"/>
          <w:highlight w:val="none"/>
          <w:lang w:eastAsia="zh-CN"/>
        </w:rPr>
        <w:t>严格执行县十八届人大七次会议批准的预算，</w:t>
      </w:r>
      <w:r>
        <w:rPr>
          <w:rFonts w:hint="eastAsia" w:ascii="仿宋_GB2312" w:hAnsi="仿宋" w:eastAsia="仿宋_GB2312" w:cs="仿宋"/>
          <w:color w:val="auto"/>
          <w:sz w:val="32"/>
          <w:szCs w:val="32"/>
          <w:highlight w:val="none"/>
        </w:rPr>
        <w:t>坚持稳中求进总基调，坚持新发展理念，坚持以供给侧结构性改革为主线，坚持以改革开放为动力，扎实做好“六稳”工作，全面落实“六保”任务。坚定不移推动高质量发展，落实积极财政政策，着力深化财政改革，加强政府性债务管理，有效防范财政风险，为全</w:t>
      </w:r>
      <w:r>
        <w:rPr>
          <w:rFonts w:hint="eastAsia" w:ascii="仿宋_GB2312" w:hAnsi="仿宋" w:eastAsia="仿宋_GB2312" w:cs="仿宋"/>
          <w:color w:val="auto"/>
          <w:sz w:val="32"/>
          <w:szCs w:val="32"/>
          <w:highlight w:val="none"/>
          <w:lang w:eastAsia="zh-CN"/>
        </w:rPr>
        <w:t>县</w:t>
      </w:r>
      <w:r>
        <w:rPr>
          <w:rFonts w:hint="eastAsia" w:ascii="仿宋_GB2312" w:hAnsi="仿宋" w:eastAsia="仿宋_GB2312" w:cs="仿宋"/>
          <w:color w:val="auto"/>
          <w:sz w:val="32"/>
          <w:szCs w:val="32"/>
          <w:highlight w:val="none"/>
        </w:rPr>
        <w:t>“十四五”开好局，起好步提供了坚实的财力保障。</w:t>
      </w:r>
      <w:r>
        <w:rPr>
          <w:rFonts w:hint="eastAsia" w:ascii="仿宋_GB2312" w:hAnsi="仿宋" w:eastAsia="仿宋_GB2312" w:cs="仿宋"/>
          <w:color w:val="auto"/>
          <w:sz w:val="32"/>
          <w:szCs w:val="32"/>
          <w:highlight w:val="none"/>
        </w:rPr>
        <w:tab/>
      </w:r>
    </w:p>
    <w:p>
      <w:pPr>
        <w:keepNext w:val="0"/>
        <w:keepLines w:val="0"/>
        <w:pageBreakBefore w:val="0"/>
        <w:kinsoku/>
        <w:wordWrap/>
        <w:overflowPunct/>
        <w:topLinePunct w:val="0"/>
        <w:autoSpaceDE/>
        <w:autoSpaceDN/>
        <w:bidi w:val="0"/>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（一）一般公共预算执行情况</w:t>
      </w:r>
    </w:p>
    <w:p>
      <w:pPr>
        <w:keepNext w:val="0"/>
        <w:keepLines w:val="0"/>
        <w:pageBreakBefore w:val="0"/>
        <w:kinsoku/>
        <w:wordWrap/>
        <w:overflowPunct/>
        <w:topLinePunct w:val="0"/>
        <w:autoSpaceDE/>
        <w:autoSpaceDN/>
        <w:bidi w:val="0"/>
        <w:adjustRightInd w:val="0"/>
        <w:spacing w:line="560" w:lineRule="exact"/>
        <w:ind w:firstLine="640" w:firstLineChars="200"/>
        <w:rPr>
          <w:rFonts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地方一般公共预算收入</w:t>
      </w:r>
      <w:r>
        <w:rPr>
          <w:rFonts w:hint="eastAsia" w:ascii="仿宋_GB2312" w:hAnsi="仿宋" w:eastAsia="仿宋_GB2312" w:cs="仿宋"/>
          <w:color w:val="auto"/>
          <w:sz w:val="32"/>
          <w:szCs w:val="32"/>
          <w:highlight w:val="none"/>
          <w:lang w:val="en-US" w:eastAsia="zh-CN"/>
        </w:rPr>
        <w:t>59028</w:t>
      </w:r>
      <w:r>
        <w:rPr>
          <w:rFonts w:hint="eastAsia" w:ascii="仿宋_GB2312" w:hAnsi="仿宋" w:eastAsia="仿宋_GB2312" w:cs="仿宋"/>
          <w:color w:val="auto"/>
          <w:sz w:val="32"/>
          <w:szCs w:val="32"/>
          <w:highlight w:val="none"/>
          <w:lang w:eastAsia="zh-CN"/>
        </w:rPr>
        <w:t>万</w:t>
      </w:r>
      <w:r>
        <w:rPr>
          <w:rFonts w:hint="eastAsia" w:ascii="仿宋_GB2312" w:hAnsi="仿宋" w:eastAsia="仿宋_GB2312" w:cs="仿宋"/>
          <w:color w:val="auto"/>
          <w:sz w:val="32"/>
          <w:szCs w:val="32"/>
          <w:highlight w:val="none"/>
        </w:rPr>
        <w:t>元，完成调整预算数的</w:t>
      </w:r>
      <w:r>
        <w:rPr>
          <w:rFonts w:hint="eastAsia" w:ascii="仿宋_GB2312" w:hAnsi="仿宋" w:eastAsia="仿宋_GB2312" w:cs="仿宋"/>
          <w:color w:val="auto"/>
          <w:sz w:val="32"/>
          <w:szCs w:val="32"/>
          <w:highlight w:val="none"/>
          <w:lang w:val="en-US" w:eastAsia="zh-CN"/>
        </w:rPr>
        <w:t>101.7</w:t>
      </w:r>
      <w:r>
        <w:rPr>
          <w:rFonts w:hint="eastAsia" w:ascii="仿宋_GB2312" w:hAnsi="仿宋" w:eastAsia="仿宋_GB2312" w:cs="仿宋"/>
          <w:color w:val="auto"/>
          <w:sz w:val="32"/>
          <w:szCs w:val="32"/>
          <w:highlight w:val="none"/>
        </w:rPr>
        <w:t>%，同比</w:t>
      </w:r>
      <w:r>
        <w:rPr>
          <w:rFonts w:hint="eastAsia" w:ascii="仿宋_GB2312" w:hAnsi="仿宋" w:eastAsia="仿宋_GB2312" w:cs="仿宋"/>
          <w:color w:val="auto"/>
          <w:sz w:val="32"/>
          <w:szCs w:val="32"/>
          <w:highlight w:val="none"/>
          <w:lang w:eastAsia="zh-CN"/>
        </w:rPr>
        <w:t>增长</w:t>
      </w:r>
      <w:r>
        <w:rPr>
          <w:rFonts w:hint="eastAsia" w:ascii="仿宋_GB2312" w:hAnsi="仿宋" w:eastAsia="仿宋_GB2312" w:cs="仿宋"/>
          <w:color w:val="auto"/>
          <w:sz w:val="32"/>
          <w:szCs w:val="32"/>
          <w:highlight w:val="none"/>
          <w:lang w:val="en-US" w:eastAsia="zh-CN"/>
        </w:rPr>
        <w:t>49.3</w:t>
      </w:r>
      <w:r>
        <w:rPr>
          <w:rFonts w:hint="eastAsia" w:ascii="仿宋_GB2312" w:hAnsi="仿宋" w:eastAsia="仿宋_GB2312" w:cs="仿宋"/>
          <w:color w:val="auto"/>
          <w:sz w:val="32"/>
          <w:szCs w:val="32"/>
          <w:highlight w:val="none"/>
        </w:rPr>
        <w:t>%。其中税收收入完成</w:t>
      </w:r>
      <w:r>
        <w:rPr>
          <w:rFonts w:hint="eastAsia" w:ascii="仿宋_GB2312" w:hAnsi="仿宋" w:eastAsia="仿宋_GB2312" w:cs="仿宋"/>
          <w:color w:val="auto"/>
          <w:sz w:val="32"/>
          <w:szCs w:val="32"/>
          <w:highlight w:val="none"/>
          <w:lang w:val="en-US" w:eastAsia="zh-CN"/>
        </w:rPr>
        <w:t>44180</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，非税收入完成</w:t>
      </w:r>
      <w:r>
        <w:rPr>
          <w:rFonts w:hint="eastAsia" w:ascii="仿宋_GB2312" w:hAnsi="仿宋" w:eastAsia="仿宋_GB2312" w:cs="仿宋"/>
          <w:color w:val="auto"/>
          <w:sz w:val="32"/>
          <w:szCs w:val="32"/>
          <w:highlight w:val="none"/>
          <w:lang w:val="en-US" w:eastAsia="zh-CN"/>
        </w:rPr>
        <w:t>14848</w:t>
      </w:r>
      <w:r>
        <w:rPr>
          <w:rFonts w:hint="eastAsia" w:ascii="仿宋_GB2312" w:hAnsi="仿宋" w:eastAsia="仿宋_GB2312" w:cs="仿宋"/>
          <w:color w:val="auto"/>
          <w:sz w:val="32"/>
          <w:szCs w:val="32"/>
          <w:highlight w:val="none"/>
        </w:rPr>
        <w:t>万元,税收占比</w:t>
      </w:r>
      <w:r>
        <w:rPr>
          <w:rFonts w:hint="eastAsia" w:ascii="仿宋_GB2312" w:hAnsi="仿宋" w:eastAsia="仿宋_GB2312" w:cs="仿宋"/>
          <w:color w:val="auto"/>
          <w:sz w:val="32"/>
          <w:szCs w:val="32"/>
          <w:highlight w:val="none"/>
          <w:lang w:val="en-US" w:eastAsia="zh-CN"/>
        </w:rPr>
        <w:t>74.8</w:t>
      </w:r>
      <w:r>
        <w:rPr>
          <w:rFonts w:hint="eastAsia" w:ascii="仿宋_GB2312" w:hAnsi="仿宋" w:eastAsia="仿宋_GB2312" w:cs="仿宋"/>
          <w:color w:val="auto"/>
          <w:sz w:val="32"/>
          <w:szCs w:val="32"/>
          <w:highlight w:val="none"/>
        </w:rPr>
        <w:t>%</w:t>
      </w:r>
      <w:r>
        <w:rPr>
          <w:rFonts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与同期基本持平</w:t>
      </w:r>
      <w:r>
        <w:rPr>
          <w:rFonts w:hint="eastAsia" w:ascii="仿宋_GB2312" w:hAnsi="仿宋" w:eastAsia="仿宋_GB2312" w:cs="仿宋"/>
          <w:color w:val="auto"/>
          <w:sz w:val="32"/>
          <w:szCs w:val="32"/>
          <w:highlight w:val="none"/>
        </w:rPr>
        <w:t>。</w:t>
      </w:r>
    </w:p>
    <w:p>
      <w:pPr>
        <w:keepNext w:val="0"/>
        <w:keepLines w:val="0"/>
        <w:pageBreakBefore w:val="0"/>
        <w:kinsoku/>
        <w:wordWrap/>
        <w:overflowPunct/>
        <w:topLinePunct w:val="0"/>
        <w:autoSpaceDE/>
        <w:autoSpaceDN/>
        <w:bidi w:val="0"/>
        <w:spacing w:line="560" w:lineRule="exact"/>
        <w:ind w:firstLine="640" w:firstLineChars="200"/>
        <w:rPr>
          <w:rFonts w:hint="default" w:ascii="仿宋_GB2312" w:hAnsi="仿宋" w:eastAsia="仿宋_GB2312" w:cs="仿宋"/>
          <w:color w:val="auto"/>
          <w:sz w:val="32"/>
          <w:szCs w:val="32"/>
          <w:highlight w:val="none"/>
          <w:lang w:val="en-US" w:eastAsia="zh-CN"/>
        </w:rPr>
      </w:pPr>
      <w:r>
        <w:rPr>
          <w:rFonts w:hint="eastAsia" w:ascii="仿宋_GB2312" w:hAnsi="仿宋" w:eastAsia="仿宋_GB2312" w:cs="仿宋"/>
          <w:color w:val="auto"/>
          <w:sz w:val="32"/>
          <w:szCs w:val="32"/>
          <w:highlight w:val="none"/>
        </w:rPr>
        <w:t>地方一般公共预算支出</w:t>
      </w:r>
      <w:r>
        <w:rPr>
          <w:rFonts w:hint="eastAsia" w:ascii="仿宋_GB2312" w:hAnsi="仿宋" w:eastAsia="仿宋_GB2312" w:cs="仿宋"/>
          <w:color w:val="auto"/>
          <w:sz w:val="32"/>
          <w:szCs w:val="32"/>
          <w:highlight w:val="none"/>
          <w:lang w:val="en-US" w:eastAsia="zh-CN"/>
        </w:rPr>
        <w:t>313004</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94.2</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，低于调整预算数主要原因是</w:t>
      </w:r>
      <w:r>
        <w:rPr>
          <w:rFonts w:hint="eastAsia" w:ascii="仿宋_GB2312" w:hAnsi="仿宋" w:eastAsia="仿宋_GB2312" w:cs="仿宋"/>
          <w:color w:val="auto"/>
          <w:sz w:val="32"/>
          <w:szCs w:val="32"/>
          <w:highlight w:val="none"/>
          <w:lang w:val="en-US" w:eastAsia="zh-CN"/>
        </w:rPr>
        <w:t>2021年实行收付实现制，支出数以实际支付数为准，未形成实际支付的金额转入2022年</w:t>
      </w:r>
      <w:r>
        <w:rPr>
          <w:rFonts w:hint="eastAsia" w:ascii="仿宋_GB2312" w:hAnsi="仿宋" w:eastAsia="仿宋_GB2312" w:cs="仿宋"/>
          <w:color w:val="auto"/>
          <w:sz w:val="32"/>
          <w:szCs w:val="32"/>
          <w:highlight w:val="none"/>
        </w:rPr>
        <w:t>。主要项目情况为：一般公共服务支出</w:t>
      </w:r>
      <w:r>
        <w:rPr>
          <w:rFonts w:hint="eastAsia" w:ascii="仿宋_GB2312" w:hAnsi="仿宋" w:eastAsia="仿宋_GB2312" w:cs="仿宋"/>
          <w:color w:val="auto"/>
          <w:sz w:val="32"/>
          <w:szCs w:val="32"/>
          <w:highlight w:val="none"/>
          <w:lang w:val="en-US" w:eastAsia="zh-CN"/>
        </w:rPr>
        <w:t>36523</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83.4</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国防支出</w:t>
      </w:r>
      <w:r>
        <w:rPr>
          <w:rFonts w:hint="eastAsia" w:ascii="仿宋_GB2312" w:hAnsi="仿宋" w:eastAsia="仿宋_GB2312" w:cs="仿宋"/>
          <w:color w:val="auto"/>
          <w:sz w:val="32"/>
          <w:szCs w:val="32"/>
          <w:highlight w:val="none"/>
          <w:lang w:val="en-US" w:eastAsia="zh-CN"/>
        </w:rPr>
        <w:t>43万元，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53.7</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公共安全支出</w:t>
      </w:r>
      <w:r>
        <w:rPr>
          <w:rFonts w:hint="eastAsia" w:ascii="仿宋_GB2312" w:hAnsi="仿宋" w:eastAsia="仿宋_GB2312" w:cs="仿宋"/>
          <w:color w:val="auto"/>
          <w:sz w:val="32"/>
          <w:szCs w:val="32"/>
          <w:highlight w:val="none"/>
          <w:lang w:val="en-US" w:eastAsia="zh-CN"/>
        </w:rPr>
        <w:t>10365</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87.4</w:t>
      </w:r>
      <w:r>
        <w:rPr>
          <w:rFonts w:hint="eastAsia" w:ascii="仿宋_GB2312" w:hAnsi="仿宋" w:eastAsia="仿宋_GB2312" w:cs="仿宋"/>
          <w:color w:val="auto"/>
          <w:sz w:val="32"/>
          <w:szCs w:val="32"/>
          <w:highlight w:val="none"/>
        </w:rPr>
        <w:t>%；教育支出</w:t>
      </w:r>
      <w:r>
        <w:rPr>
          <w:rFonts w:hint="eastAsia" w:ascii="仿宋_GB2312" w:hAnsi="仿宋" w:eastAsia="仿宋_GB2312" w:cs="仿宋"/>
          <w:color w:val="auto"/>
          <w:sz w:val="32"/>
          <w:szCs w:val="32"/>
          <w:highlight w:val="none"/>
          <w:lang w:val="en-US" w:eastAsia="zh-CN"/>
        </w:rPr>
        <w:t>57502</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110.1</w:t>
      </w:r>
      <w:r>
        <w:rPr>
          <w:rFonts w:hint="eastAsia" w:ascii="仿宋_GB2312" w:hAnsi="仿宋" w:eastAsia="仿宋_GB2312" w:cs="仿宋"/>
          <w:color w:val="auto"/>
          <w:sz w:val="32"/>
          <w:szCs w:val="32"/>
          <w:highlight w:val="none"/>
        </w:rPr>
        <w:t>%；科学技术支出</w:t>
      </w:r>
      <w:r>
        <w:rPr>
          <w:rFonts w:hint="eastAsia" w:ascii="仿宋_GB2312" w:hAnsi="仿宋" w:eastAsia="仿宋_GB2312" w:cs="仿宋"/>
          <w:color w:val="auto"/>
          <w:sz w:val="32"/>
          <w:szCs w:val="32"/>
          <w:highlight w:val="none"/>
          <w:lang w:val="en-US" w:eastAsia="zh-CN"/>
        </w:rPr>
        <w:t>4306</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104.9</w:t>
      </w:r>
      <w:r>
        <w:rPr>
          <w:rFonts w:hint="eastAsia" w:ascii="仿宋_GB2312" w:hAnsi="仿宋" w:eastAsia="仿宋_GB2312" w:cs="仿宋"/>
          <w:color w:val="auto"/>
          <w:sz w:val="32"/>
          <w:szCs w:val="32"/>
          <w:highlight w:val="none"/>
        </w:rPr>
        <w:t>%；文化体育与传媒支出</w:t>
      </w:r>
      <w:r>
        <w:rPr>
          <w:rFonts w:hint="eastAsia" w:ascii="仿宋_GB2312" w:hAnsi="仿宋" w:eastAsia="仿宋_GB2312" w:cs="仿宋"/>
          <w:color w:val="auto"/>
          <w:sz w:val="32"/>
          <w:szCs w:val="32"/>
          <w:highlight w:val="none"/>
          <w:lang w:val="en-US" w:eastAsia="zh-CN"/>
        </w:rPr>
        <w:t>6429</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109.6</w:t>
      </w:r>
      <w:r>
        <w:rPr>
          <w:rFonts w:hint="eastAsia" w:ascii="仿宋_GB2312" w:hAnsi="仿宋" w:eastAsia="仿宋_GB2312" w:cs="仿宋"/>
          <w:color w:val="auto"/>
          <w:sz w:val="32"/>
          <w:szCs w:val="32"/>
          <w:highlight w:val="none"/>
        </w:rPr>
        <w:t>%；社会保障和就业支出</w:t>
      </w:r>
      <w:r>
        <w:rPr>
          <w:rFonts w:hint="eastAsia" w:ascii="仿宋_GB2312" w:hAnsi="仿宋" w:eastAsia="仿宋_GB2312" w:cs="仿宋"/>
          <w:color w:val="auto"/>
          <w:sz w:val="32"/>
          <w:szCs w:val="32"/>
          <w:highlight w:val="none"/>
          <w:lang w:val="en-US" w:eastAsia="zh-CN"/>
        </w:rPr>
        <w:t>45557</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106.6</w:t>
      </w:r>
      <w:r>
        <w:rPr>
          <w:rFonts w:hint="eastAsia" w:ascii="仿宋_GB2312" w:hAnsi="仿宋" w:eastAsia="仿宋_GB2312" w:cs="仿宋"/>
          <w:color w:val="auto"/>
          <w:sz w:val="32"/>
          <w:szCs w:val="32"/>
          <w:highlight w:val="none"/>
        </w:rPr>
        <w:t>%；卫生健康支出</w:t>
      </w:r>
      <w:r>
        <w:rPr>
          <w:rFonts w:hint="eastAsia" w:ascii="仿宋_GB2312" w:hAnsi="仿宋" w:eastAsia="仿宋_GB2312" w:cs="仿宋"/>
          <w:color w:val="auto"/>
          <w:sz w:val="32"/>
          <w:szCs w:val="32"/>
          <w:highlight w:val="none"/>
          <w:lang w:val="en-US" w:eastAsia="zh-CN"/>
        </w:rPr>
        <w:t>41618</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84</w:t>
      </w:r>
      <w:r>
        <w:rPr>
          <w:rFonts w:hint="eastAsia" w:ascii="仿宋_GB2312" w:hAnsi="仿宋" w:eastAsia="仿宋_GB2312" w:cs="仿宋"/>
          <w:color w:val="auto"/>
          <w:sz w:val="32"/>
          <w:szCs w:val="32"/>
          <w:highlight w:val="none"/>
        </w:rPr>
        <w:t>%；节能环保支出</w:t>
      </w:r>
      <w:r>
        <w:rPr>
          <w:rFonts w:hint="eastAsia" w:ascii="仿宋_GB2312" w:hAnsi="仿宋" w:eastAsia="仿宋_GB2312" w:cs="仿宋"/>
          <w:color w:val="auto"/>
          <w:sz w:val="32"/>
          <w:szCs w:val="32"/>
          <w:highlight w:val="none"/>
          <w:lang w:val="en-US" w:eastAsia="zh-CN"/>
        </w:rPr>
        <w:t>8544</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98.3</w:t>
      </w:r>
      <w:r>
        <w:rPr>
          <w:rFonts w:hint="eastAsia" w:ascii="仿宋_GB2312" w:hAnsi="仿宋" w:eastAsia="仿宋_GB2312" w:cs="仿宋"/>
          <w:color w:val="auto"/>
          <w:sz w:val="32"/>
          <w:szCs w:val="32"/>
          <w:highlight w:val="none"/>
        </w:rPr>
        <w:t>%；城乡社区支出</w:t>
      </w:r>
      <w:r>
        <w:rPr>
          <w:rFonts w:hint="eastAsia" w:ascii="仿宋_GB2312" w:hAnsi="仿宋" w:eastAsia="仿宋_GB2312" w:cs="仿宋"/>
          <w:color w:val="auto"/>
          <w:sz w:val="32"/>
          <w:szCs w:val="32"/>
          <w:highlight w:val="none"/>
          <w:lang w:val="en-US" w:eastAsia="zh-CN"/>
        </w:rPr>
        <w:t>7588</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87.9</w:t>
      </w:r>
      <w:r>
        <w:rPr>
          <w:rFonts w:hint="eastAsia" w:ascii="仿宋_GB2312" w:hAnsi="仿宋" w:eastAsia="仿宋_GB2312" w:cs="仿宋"/>
          <w:color w:val="auto"/>
          <w:sz w:val="32"/>
          <w:szCs w:val="32"/>
          <w:highlight w:val="none"/>
        </w:rPr>
        <w:t>%；农林水支出</w:t>
      </w:r>
      <w:r>
        <w:rPr>
          <w:rFonts w:hint="eastAsia" w:ascii="仿宋_GB2312" w:hAnsi="仿宋" w:eastAsia="仿宋_GB2312" w:cs="仿宋"/>
          <w:color w:val="auto"/>
          <w:sz w:val="32"/>
          <w:szCs w:val="32"/>
          <w:highlight w:val="none"/>
          <w:lang w:val="en-US" w:eastAsia="zh-CN"/>
        </w:rPr>
        <w:t>60632</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95.1</w:t>
      </w:r>
      <w:r>
        <w:rPr>
          <w:rFonts w:hint="eastAsia" w:ascii="仿宋_GB2312" w:hAnsi="仿宋" w:eastAsia="仿宋_GB2312" w:cs="仿宋"/>
          <w:color w:val="auto"/>
          <w:sz w:val="32"/>
          <w:szCs w:val="32"/>
          <w:highlight w:val="none"/>
        </w:rPr>
        <w:t>%；交通运输支出</w:t>
      </w:r>
      <w:r>
        <w:rPr>
          <w:rFonts w:hint="eastAsia" w:ascii="仿宋_GB2312" w:hAnsi="仿宋" w:eastAsia="仿宋_GB2312" w:cs="仿宋"/>
          <w:color w:val="auto"/>
          <w:sz w:val="32"/>
          <w:szCs w:val="32"/>
          <w:highlight w:val="none"/>
          <w:lang w:val="en-US" w:eastAsia="zh-CN"/>
        </w:rPr>
        <w:t>13693</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78.5</w:t>
      </w:r>
      <w:r>
        <w:rPr>
          <w:rFonts w:hint="eastAsia" w:ascii="仿宋_GB2312" w:hAnsi="仿宋" w:eastAsia="仿宋_GB2312" w:cs="仿宋"/>
          <w:color w:val="auto"/>
          <w:sz w:val="32"/>
          <w:szCs w:val="32"/>
          <w:highlight w:val="none"/>
        </w:rPr>
        <w:t>%；资源勘探</w:t>
      </w:r>
      <w:r>
        <w:rPr>
          <w:rFonts w:hint="eastAsia" w:ascii="仿宋_GB2312" w:hAnsi="仿宋" w:eastAsia="仿宋_GB2312" w:cs="仿宋"/>
          <w:color w:val="auto"/>
          <w:sz w:val="32"/>
          <w:szCs w:val="32"/>
          <w:highlight w:val="none"/>
          <w:lang w:eastAsia="zh-CN"/>
        </w:rPr>
        <w:t>工业</w:t>
      </w:r>
      <w:r>
        <w:rPr>
          <w:rFonts w:hint="eastAsia" w:ascii="仿宋_GB2312" w:hAnsi="仿宋" w:eastAsia="仿宋_GB2312" w:cs="仿宋"/>
          <w:color w:val="auto"/>
          <w:sz w:val="32"/>
          <w:szCs w:val="32"/>
          <w:highlight w:val="none"/>
        </w:rPr>
        <w:t>信息支出</w:t>
      </w:r>
      <w:r>
        <w:rPr>
          <w:rFonts w:hint="eastAsia" w:ascii="仿宋_GB2312" w:hAnsi="仿宋" w:eastAsia="仿宋_GB2312" w:cs="仿宋"/>
          <w:color w:val="auto"/>
          <w:sz w:val="32"/>
          <w:szCs w:val="32"/>
          <w:highlight w:val="none"/>
          <w:lang w:val="en-US" w:eastAsia="zh-CN"/>
        </w:rPr>
        <w:t>1715</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99.9</w:t>
      </w:r>
      <w:r>
        <w:rPr>
          <w:rFonts w:hint="eastAsia" w:ascii="仿宋_GB2312" w:hAnsi="仿宋" w:eastAsia="仿宋_GB2312" w:cs="仿宋"/>
          <w:color w:val="auto"/>
          <w:sz w:val="32"/>
          <w:szCs w:val="32"/>
          <w:highlight w:val="none"/>
        </w:rPr>
        <w:t>%；商业服务业支出</w:t>
      </w:r>
      <w:r>
        <w:rPr>
          <w:rFonts w:hint="eastAsia" w:ascii="仿宋_GB2312" w:hAnsi="仿宋" w:eastAsia="仿宋_GB2312" w:cs="仿宋"/>
          <w:color w:val="auto"/>
          <w:sz w:val="32"/>
          <w:szCs w:val="32"/>
          <w:highlight w:val="none"/>
          <w:lang w:val="en-US" w:eastAsia="zh-CN"/>
        </w:rPr>
        <w:t>636</w:t>
      </w:r>
      <w:r>
        <w:rPr>
          <w:rFonts w:hint="eastAsia" w:ascii="仿宋_GB2312" w:hAnsi="仿宋" w:eastAsia="仿宋_GB2312" w:cs="仿宋"/>
          <w:color w:val="auto"/>
          <w:sz w:val="32"/>
          <w:szCs w:val="32"/>
          <w:highlight w:val="none"/>
        </w:rPr>
        <w:t>万</w:t>
      </w:r>
      <w:r>
        <w:rPr>
          <w:rFonts w:hint="eastAsia" w:ascii="仿宋_GB2312" w:hAnsi="仿宋" w:eastAsia="仿宋_GB2312" w:cs="仿宋"/>
          <w:color w:val="auto"/>
          <w:sz w:val="32"/>
          <w:szCs w:val="32"/>
          <w:highlight w:val="none"/>
          <w:lang w:eastAsia="zh-CN"/>
        </w:rPr>
        <w:t>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83.1</w:t>
      </w:r>
      <w:r>
        <w:rPr>
          <w:rFonts w:hint="eastAsia" w:ascii="仿宋_GB2312" w:hAnsi="仿宋" w:eastAsia="仿宋_GB2312" w:cs="仿宋"/>
          <w:color w:val="auto"/>
          <w:sz w:val="32"/>
          <w:szCs w:val="32"/>
          <w:highlight w:val="none"/>
        </w:rPr>
        <w:t>%；自然资源海洋气象等支出</w:t>
      </w:r>
      <w:r>
        <w:rPr>
          <w:rFonts w:hint="eastAsia" w:ascii="仿宋_GB2312" w:hAnsi="仿宋" w:eastAsia="仿宋_GB2312" w:cs="仿宋"/>
          <w:color w:val="auto"/>
          <w:sz w:val="32"/>
          <w:szCs w:val="32"/>
          <w:highlight w:val="none"/>
          <w:lang w:val="en-US" w:eastAsia="zh-CN"/>
        </w:rPr>
        <w:t>3417</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81.1</w:t>
      </w:r>
      <w:r>
        <w:rPr>
          <w:rFonts w:hint="eastAsia" w:ascii="仿宋_GB2312" w:hAnsi="仿宋" w:eastAsia="仿宋_GB2312" w:cs="仿宋"/>
          <w:color w:val="auto"/>
          <w:sz w:val="32"/>
          <w:szCs w:val="32"/>
          <w:highlight w:val="none"/>
        </w:rPr>
        <w:t>%；住房保障支出</w:t>
      </w:r>
      <w:r>
        <w:rPr>
          <w:rFonts w:hint="eastAsia" w:ascii="仿宋_GB2312" w:hAnsi="仿宋" w:eastAsia="仿宋_GB2312" w:cs="仿宋"/>
          <w:color w:val="auto"/>
          <w:sz w:val="32"/>
          <w:szCs w:val="32"/>
          <w:highlight w:val="none"/>
          <w:lang w:val="en-US" w:eastAsia="zh-CN"/>
        </w:rPr>
        <w:t>5792</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96.1</w:t>
      </w:r>
      <w:r>
        <w:rPr>
          <w:rFonts w:hint="eastAsia" w:ascii="仿宋_GB2312" w:hAnsi="仿宋" w:eastAsia="仿宋_GB2312" w:cs="仿宋"/>
          <w:color w:val="auto"/>
          <w:sz w:val="32"/>
          <w:szCs w:val="32"/>
          <w:highlight w:val="none"/>
        </w:rPr>
        <w:t>%；粮油</w:t>
      </w:r>
      <w:r>
        <w:rPr>
          <w:rFonts w:hint="eastAsia" w:ascii="仿宋_GB2312" w:hAnsi="仿宋" w:eastAsia="仿宋_GB2312" w:cs="仿宋"/>
          <w:color w:val="auto"/>
          <w:sz w:val="32"/>
          <w:szCs w:val="32"/>
          <w:highlight w:val="none"/>
          <w:lang w:eastAsia="zh-CN"/>
        </w:rPr>
        <w:t>物资</w:t>
      </w:r>
      <w:r>
        <w:rPr>
          <w:rFonts w:hint="eastAsia" w:ascii="仿宋_GB2312" w:hAnsi="仿宋" w:eastAsia="仿宋_GB2312" w:cs="仿宋"/>
          <w:color w:val="auto"/>
          <w:sz w:val="32"/>
          <w:szCs w:val="32"/>
          <w:highlight w:val="none"/>
        </w:rPr>
        <w:t>储备支出</w:t>
      </w:r>
      <w:r>
        <w:rPr>
          <w:rFonts w:hint="eastAsia" w:ascii="仿宋_GB2312" w:hAnsi="仿宋" w:eastAsia="仿宋_GB2312" w:cs="仿宋"/>
          <w:color w:val="auto"/>
          <w:sz w:val="32"/>
          <w:szCs w:val="32"/>
          <w:highlight w:val="none"/>
          <w:lang w:val="en-US" w:eastAsia="zh-CN"/>
        </w:rPr>
        <w:t>519</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89</w:t>
      </w:r>
      <w:r>
        <w:rPr>
          <w:rFonts w:hint="eastAsia" w:ascii="仿宋_GB2312" w:hAnsi="仿宋" w:eastAsia="仿宋_GB2312" w:cs="仿宋"/>
          <w:color w:val="auto"/>
          <w:sz w:val="32"/>
          <w:szCs w:val="32"/>
          <w:highlight w:val="none"/>
        </w:rPr>
        <w:t>%；灾害防治及应急管理支出</w:t>
      </w:r>
      <w:r>
        <w:rPr>
          <w:rFonts w:hint="eastAsia" w:ascii="仿宋_GB2312" w:hAnsi="仿宋" w:eastAsia="仿宋_GB2312" w:cs="仿宋"/>
          <w:color w:val="auto"/>
          <w:sz w:val="32"/>
          <w:szCs w:val="32"/>
          <w:highlight w:val="none"/>
          <w:lang w:val="en-US" w:eastAsia="zh-CN"/>
        </w:rPr>
        <w:t>1824</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57.3</w:t>
      </w:r>
      <w:r>
        <w:rPr>
          <w:rFonts w:hint="eastAsia" w:ascii="仿宋_GB2312" w:hAnsi="仿宋" w:eastAsia="仿宋_GB2312" w:cs="仿宋"/>
          <w:color w:val="auto"/>
          <w:sz w:val="32"/>
          <w:szCs w:val="32"/>
          <w:highlight w:val="none"/>
        </w:rPr>
        <w:t>%；债务付息支出</w:t>
      </w:r>
      <w:r>
        <w:rPr>
          <w:rFonts w:hint="eastAsia" w:ascii="仿宋_GB2312" w:hAnsi="仿宋" w:eastAsia="仿宋_GB2312" w:cs="仿宋"/>
          <w:color w:val="auto"/>
          <w:sz w:val="32"/>
          <w:szCs w:val="32"/>
          <w:highlight w:val="none"/>
          <w:lang w:val="en-US" w:eastAsia="zh-CN"/>
        </w:rPr>
        <w:t>6280</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89.7</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；债务发行费支出</w:t>
      </w:r>
      <w:r>
        <w:rPr>
          <w:rFonts w:hint="eastAsia" w:ascii="仿宋_GB2312" w:hAnsi="仿宋" w:eastAsia="仿宋_GB2312" w:cs="仿宋"/>
          <w:color w:val="auto"/>
          <w:sz w:val="32"/>
          <w:szCs w:val="32"/>
          <w:highlight w:val="none"/>
          <w:lang w:val="en-US" w:eastAsia="zh-CN"/>
        </w:rPr>
        <w:t>21万元,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100</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val="en-US" w:eastAsia="zh-CN"/>
        </w:rPr>
        <w:t>。</w:t>
      </w:r>
    </w:p>
    <w:p>
      <w:pPr>
        <w:keepNext w:val="0"/>
        <w:keepLines w:val="0"/>
        <w:pageBreakBefore w:val="0"/>
        <w:widowControl/>
        <w:kinsoku/>
        <w:wordWrap/>
        <w:overflowPunct/>
        <w:topLinePunct w:val="0"/>
        <w:autoSpaceDE/>
        <w:autoSpaceDN/>
        <w:bidi w:val="0"/>
        <w:snapToGrid/>
        <w:spacing w:line="560" w:lineRule="exact"/>
        <w:ind w:firstLine="640" w:firstLineChars="200"/>
        <w:textAlignment w:val="auto"/>
        <w:rPr>
          <w:rFonts w:hint="eastAsia" w:ascii="仿宋_GB2312" w:hAnsi="仿宋" w:eastAsia="仿宋_GB2312" w:cs="仿宋"/>
          <w:color w:val="auto"/>
          <w:sz w:val="32"/>
          <w:szCs w:val="32"/>
          <w:highlight w:val="none"/>
          <w:lang w:val="en-US" w:eastAsia="zh-CN"/>
        </w:rPr>
      </w:pPr>
      <w:r>
        <w:rPr>
          <w:rFonts w:hint="eastAsia" w:ascii="仿宋_GB2312" w:hAnsi="仿宋" w:eastAsia="仿宋_GB2312" w:cs="仿宋"/>
          <w:color w:val="auto"/>
          <w:sz w:val="32"/>
          <w:szCs w:val="32"/>
          <w:highlight w:val="none"/>
          <w:lang w:val="en-US" w:eastAsia="zh-CN"/>
        </w:rPr>
        <w:t>综合分析，地方一般公共预算收入完成59028万元,较年初预算55000万元增长4028万元，增长原因主要是经济形势发展好于预期，带来收入的增长。</w:t>
      </w:r>
    </w:p>
    <w:p>
      <w:pPr>
        <w:keepNext w:val="0"/>
        <w:keepLines w:val="0"/>
        <w:pageBreakBefore w:val="0"/>
        <w:widowControl/>
        <w:kinsoku/>
        <w:wordWrap/>
        <w:overflowPunct/>
        <w:topLinePunct w:val="0"/>
        <w:autoSpaceDE/>
        <w:autoSpaceDN/>
        <w:bidi w:val="0"/>
        <w:snapToGrid/>
        <w:spacing w:line="560" w:lineRule="exact"/>
        <w:ind w:firstLine="640" w:firstLineChars="200"/>
        <w:textAlignment w:val="auto"/>
        <w:rPr>
          <w:rFonts w:hint="default" w:ascii="仿宋_GB2312" w:hAnsi="仿宋" w:eastAsia="仿宋_GB2312" w:cs="仿宋"/>
          <w:color w:val="auto"/>
          <w:sz w:val="32"/>
          <w:szCs w:val="32"/>
          <w:highlight w:val="none"/>
          <w:lang w:val="en-US" w:eastAsia="zh-CN"/>
        </w:rPr>
      </w:pPr>
      <w:r>
        <w:rPr>
          <w:rFonts w:hint="eastAsia" w:ascii="仿宋_GB2312" w:hAnsi="仿宋" w:eastAsia="仿宋_GB2312" w:cs="仿宋"/>
          <w:color w:val="auto"/>
          <w:sz w:val="32"/>
          <w:szCs w:val="32"/>
          <w:highlight w:val="none"/>
          <w:lang w:val="en-US" w:eastAsia="zh-CN"/>
        </w:rPr>
        <w:t>地方一般公共预算支出完成313004万元，较年初预算293719万元增19285万元，增长原因主要是上级补助收入增加，带来相应的支出增加。</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rPr>
        <w:t>平衡情况。</w:t>
      </w:r>
      <w:r>
        <w:rPr>
          <w:rFonts w:hint="eastAsia" w:ascii="仿宋_GB2312" w:hAnsi="仿宋" w:eastAsia="仿宋_GB2312" w:cs="仿宋"/>
          <w:color w:val="auto"/>
          <w:spacing w:val="-4"/>
          <w:sz w:val="32"/>
          <w:szCs w:val="32"/>
          <w:highlight w:val="none"/>
        </w:rPr>
        <w:t>一般公共预算收入总量</w:t>
      </w:r>
      <w:r>
        <w:rPr>
          <w:rFonts w:hint="eastAsia" w:ascii="仿宋_GB2312" w:hAnsi="仿宋" w:eastAsia="仿宋_GB2312" w:cs="仿宋"/>
          <w:color w:val="auto"/>
          <w:spacing w:val="-4"/>
          <w:sz w:val="32"/>
          <w:szCs w:val="32"/>
          <w:highlight w:val="none"/>
          <w:lang w:val="en-US" w:eastAsia="zh-CN"/>
        </w:rPr>
        <w:t>376785</w:t>
      </w:r>
      <w:r>
        <w:rPr>
          <w:rFonts w:hint="eastAsia" w:ascii="仿宋_GB2312" w:hAnsi="仿宋" w:eastAsia="仿宋_GB2312" w:cs="仿宋"/>
          <w:color w:val="auto"/>
          <w:spacing w:val="-4"/>
          <w:sz w:val="32"/>
          <w:szCs w:val="32"/>
          <w:highlight w:val="none"/>
          <w:lang w:eastAsia="zh-CN"/>
        </w:rPr>
        <w:t>万元</w:t>
      </w:r>
      <w:r>
        <w:rPr>
          <w:rFonts w:hint="eastAsia" w:ascii="仿宋_GB2312" w:hAnsi="仿宋" w:eastAsia="仿宋_GB2312" w:cs="仿宋"/>
          <w:color w:val="auto"/>
          <w:spacing w:val="-4"/>
          <w:sz w:val="32"/>
          <w:szCs w:val="32"/>
          <w:highlight w:val="none"/>
        </w:rPr>
        <w:t>，其中：地方一般公共预算收入</w:t>
      </w:r>
      <w:r>
        <w:rPr>
          <w:rFonts w:hint="eastAsia" w:ascii="仿宋_GB2312" w:hAnsi="仿宋" w:eastAsia="仿宋_GB2312" w:cs="仿宋"/>
          <w:color w:val="auto"/>
          <w:spacing w:val="-4"/>
          <w:sz w:val="32"/>
          <w:szCs w:val="32"/>
          <w:highlight w:val="none"/>
          <w:lang w:val="en-US" w:eastAsia="zh-CN"/>
        </w:rPr>
        <w:t>59028</w:t>
      </w:r>
      <w:r>
        <w:rPr>
          <w:rFonts w:hint="eastAsia" w:ascii="仿宋_GB2312" w:hAnsi="仿宋" w:eastAsia="仿宋_GB2312" w:cs="仿宋"/>
          <w:color w:val="auto"/>
          <w:spacing w:val="-4"/>
          <w:sz w:val="32"/>
          <w:szCs w:val="32"/>
          <w:highlight w:val="none"/>
          <w:lang w:eastAsia="zh-CN"/>
        </w:rPr>
        <w:t>万元</w:t>
      </w:r>
      <w:r>
        <w:rPr>
          <w:rFonts w:hint="eastAsia" w:ascii="仿宋_GB2312" w:hAnsi="仿宋" w:eastAsia="仿宋_GB2312" w:cs="仿宋"/>
          <w:color w:val="auto"/>
          <w:spacing w:val="-4"/>
          <w:sz w:val="32"/>
          <w:szCs w:val="32"/>
          <w:highlight w:val="none"/>
        </w:rPr>
        <w:t>；上级补助收入</w:t>
      </w:r>
      <w:r>
        <w:rPr>
          <w:rFonts w:hint="eastAsia" w:ascii="仿宋_GB2312" w:hAnsi="仿宋" w:eastAsia="仿宋_GB2312" w:cs="仿宋"/>
          <w:color w:val="auto"/>
          <w:spacing w:val="-4"/>
          <w:sz w:val="32"/>
          <w:szCs w:val="32"/>
          <w:highlight w:val="none"/>
          <w:lang w:val="en-US" w:eastAsia="zh-CN"/>
        </w:rPr>
        <w:t>237915</w:t>
      </w:r>
      <w:r>
        <w:rPr>
          <w:rFonts w:hint="eastAsia" w:ascii="仿宋_GB2312" w:hAnsi="仿宋" w:eastAsia="仿宋_GB2312" w:cs="仿宋"/>
          <w:color w:val="auto"/>
          <w:spacing w:val="-4"/>
          <w:sz w:val="32"/>
          <w:szCs w:val="32"/>
          <w:highlight w:val="none"/>
          <w:lang w:eastAsia="zh-CN"/>
        </w:rPr>
        <w:t>万元</w:t>
      </w:r>
      <w:r>
        <w:rPr>
          <w:rFonts w:hint="eastAsia" w:ascii="仿宋_GB2312" w:hAnsi="仿宋" w:eastAsia="仿宋_GB2312" w:cs="仿宋"/>
          <w:color w:val="auto"/>
          <w:spacing w:val="-4"/>
          <w:sz w:val="32"/>
          <w:szCs w:val="32"/>
          <w:highlight w:val="none"/>
        </w:rPr>
        <w:t>，其中返还性收入</w:t>
      </w:r>
      <w:r>
        <w:rPr>
          <w:rFonts w:hint="eastAsia" w:ascii="仿宋_GB2312" w:hAnsi="仿宋" w:eastAsia="仿宋_GB2312" w:cs="仿宋"/>
          <w:color w:val="auto"/>
          <w:spacing w:val="-4"/>
          <w:sz w:val="32"/>
          <w:szCs w:val="32"/>
          <w:highlight w:val="none"/>
          <w:lang w:val="en-US" w:eastAsia="zh-CN"/>
        </w:rPr>
        <w:t>15471</w:t>
      </w:r>
      <w:r>
        <w:rPr>
          <w:rFonts w:hint="eastAsia" w:ascii="仿宋_GB2312" w:hAnsi="仿宋" w:eastAsia="仿宋_GB2312" w:cs="仿宋"/>
          <w:color w:val="auto"/>
          <w:spacing w:val="-4"/>
          <w:sz w:val="32"/>
          <w:szCs w:val="32"/>
          <w:highlight w:val="none"/>
          <w:lang w:eastAsia="zh-CN"/>
        </w:rPr>
        <w:t>万元</w:t>
      </w:r>
      <w:r>
        <w:rPr>
          <w:rFonts w:hint="eastAsia" w:ascii="仿宋_GB2312" w:hAnsi="仿宋" w:eastAsia="仿宋_GB2312" w:cs="仿宋"/>
          <w:color w:val="auto"/>
          <w:spacing w:val="-4"/>
          <w:sz w:val="32"/>
          <w:szCs w:val="32"/>
          <w:highlight w:val="none"/>
        </w:rPr>
        <w:t>、一般性转移支付收入</w:t>
      </w:r>
      <w:r>
        <w:rPr>
          <w:rFonts w:hint="eastAsia" w:ascii="仿宋_GB2312" w:hAnsi="仿宋" w:eastAsia="仿宋_GB2312" w:cs="仿宋"/>
          <w:color w:val="auto"/>
          <w:spacing w:val="-4"/>
          <w:sz w:val="32"/>
          <w:szCs w:val="32"/>
          <w:highlight w:val="none"/>
          <w:lang w:val="en-US" w:eastAsia="zh-CN"/>
        </w:rPr>
        <w:t>197879</w:t>
      </w:r>
      <w:r>
        <w:rPr>
          <w:rFonts w:hint="eastAsia" w:ascii="仿宋_GB2312" w:hAnsi="仿宋" w:eastAsia="仿宋_GB2312" w:cs="仿宋"/>
          <w:color w:val="auto"/>
          <w:spacing w:val="-4"/>
          <w:sz w:val="32"/>
          <w:szCs w:val="32"/>
          <w:highlight w:val="none"/>
          <w:lang w:eastAsia="zh-CN"/>
        </w:rPr>
        <w:t>万元</w:t>
      </w:r>
      <w:r>
        <w:rPr>
          <w:rFonts w:hint="eastAsia" w:ascii="仿宋_GB2312" w:hAnsi="仿宋" w:eastAsia="仿宋_GB2312" w:cs="仿宋"/>
          <w:color w:val="auto"/>
          <w:spacing w:val="-4"/>
          <w:sz w:val="32"/>
          <w:szCs w:val="32"/>
          <w:highlight w:val="none"/>
        </w:rPr>
        <w:t>、专项转移支付收入</w:t>
      </w:r>
      <w:r>
        <w:rPr>
          <w:rFonts w:hint="eastAsia" w:ascii="仿宋_GB2312" w:hAnsi="仿宋" w:eastAsia="仿宋_GB2312" w:cs="仿宋"/>
          <w:color w:val="auto"/>
          <w:spacing w:val="-4"/>
          <w:sz w:val="32"/>
          <w:szCs w:val="32"/>
          <w:highlight w:val="none"/>
          <w:lang w:val="en-US" w:eastAsia="zh-CN"/>
        </w:rPr>
        <w:t>24565</w:t>
      </w:r>
      <w:r>
        <w:rPr>
          <w:rFonts w:hint="eastAsia" w:ascii="仿宋_GB2312" w:hAnsi="仿宋" w:eastAsia="仿宋_GB2312" w:cs="仿宋"/>
          <w:color w:val="auto"/>
          <w:spacing w:val="-4"/>
          <w:sz w:val="32"/>
          <w:szCs w:val="32"/>
          <w:highlight w:val="none"/>
          <w:lang w:eastAsia="zh-CN"/>
        </w:rPr>
        <w:t>万元</w:t>
      </w:r>
      <w:r>
        <w:rPr>
          <w:rFonts w:hint="eastAsia" w:ascii="仿宋_GB2312" w:hAnsi="仿宋" w:eastAsia="仿宋_GB2312" w:cs="仿宋"/>
          <w:color w:val="auto"/>
          <w:spacing w:val="-4"/>
          <w:sz w:val="32"/>
          <w:szCs w:val="32"/>
          <w:highlight w:val="none"/>
        </w:rPr>
        <w:t>；省政府债券转贷收入</w:t>
      </w:r>
      <w:r>
        <w:rPr>
          <w:rFonts w:hint="eastAsia" w:ascii="仿宋_GB2312" w:hAnsi="仿宋" w:eastAsia="仿宋_GB2312" w:cs="仿宋"/>
          <w:color w:val="auto"/>
          <w:spacing w:val="-4"/>
          <w:sz w:val="32"/>
          <w:szCs w:val="32"/>
          <w:highlight w:val="none"/>
          <w:lang w:val="en-US" w:eastAsia="zh-CN"/>
        </w:rPr>
        <w:t>23229</w:t>
      </w:r>
      <w:r>
        <w:rPr>
          <w:rFonts w:hint="eastAsia" w:ascii="仿宋_GB2312" w:hAnsi="仿宋" w:eastAsia="仿宋_GB2312" w:cs="仿宋"/>
          <w:color w:val="auto"/>
          <w:spacing w:val="-4"/>
          <w:sz w:val="32"/>
          <w:szCs w:val="32"/>
          <w:highlight w:val="none"/>
          <w:lang w:eastAsia="zh-CN"/>
        </w:rPr>
        <w:t>万元</w:t>
      </w:r>
      <w:r>
        <w:rPr>
          <w:rFonts w:hint="eastAsia" w:ascii="仿宋_GB2312" w:hAnsi="仿宋" w:eastAsia="仿宋_GB2312" w:cs="仿宋"/>
          <w:color w:val="auto"/>
          <w:spacing w:val="-4"/>
          <w:sz w:val="32"/>
          <w:szCs w:val="32"/>
          <w:highlight w:val="none"/>
        </w:rPr>
        <w:t>；动用预算稳定调节基金</w:t>
      </w:r>
      <w:r>
        <w:rPr>
          <w:rFonts w:hint="eastAsia" w:ascii="仿宋_GB2312" w:hAnsi="仿宋" w:eastAsia="仿宋_GB2312" w:cs="仿宋"/>
          <w:color w:val="auto"/>
          <w:spacing w:val="-4"/>
          <w:sz w:val="32"/>
          <w:szCs w:val="32"/>
          <w:highlight w:val="none"/>
          <w:lang w:val="en-US" w:eastAsia="zh-CN"/>
        </w:rPr>
        <w:t>9377</w:t>
      </w:r>
      <w:r>
        <w:rPr>
          <w:rFonts w:hint="eastAsia" w:ascii="仿宋_GB2312" w:hAnsi="仿宋" w:eastAsia="仿宋_GB2312" w:cs="仿宋"/>
          <w:color w:val="auto"/>
          <w:spacing w:val="-4"/>
          <w:sz w:val="32"/>
          <w:szCs w:val="32"/>
          <w:highlight w:val="none"/>
          <w:lang w:eastAsia="zh-CN"/>
        </w:rPr>
        <w:t>万元</w:t>
      </w:r>
      <w:r>
        <w:rPr>
          <w:rFonts w:hint="eastAsia" w:ascii="仿宋_GB2312" w:hAnsi="仿宋" w:eastAsia="仿宋_GB2312" w:cs="仿宋"/>
          <w:color w:val="auto"/>
          <w:spacing w:val="-4"/>
          <w:sz w:val="32"/>
          <w:szCs w:val="32"/>
          <w:highlight w:val="none"/>
        </w:rPr>
        <w:t>；上年结转</w:t>
      </w:r>
      <w:r>
        <w:rPr>
          <w:rFonts w:hint="eastAsia" w:ascii="仿宋_GB2312" w:hAnsi="仿宋" w:eastAsia="仿宋_GB2312" w:cs="仿宋"/>
          <w:color w:val="auto"/>
          <w:spacing w:val="-4"/>
          <w:sz w:val="32"/>
          <w:szCs w:val="32"/>
          <w:highlight w:val="none"/>
          <w:lang w:eastAsia="zh-CN"/>
        </w:rPr>
        <w:t>收入</w:t>
      </w:r>
      <w:r>
        <w:rPr>
          <w:rFonts w:hint="eastAsia" w:ascii="仿宋_GB2312" w:hAnsi="仿宋" w:eastAsia="仿宋_GB2312" w:cs="仿宋"/>
          <w:color w:val="auto"/>
          <w:spacing w:val="-4"/>
          <w:sz w:val="32"/>
          <w:szCs w:val="32"/>
          <w:highlight w:val="none"/>
          <w:lang w:val="en-US" w:eastAsia="zh-CN"/>
        </w:rPr>
        <w:t>17329</w:t>
      </w:r>
      <w:r>
        <w:rPr>
          <w:rFonts w:hint="eastAsia" w:ascii="仿宋_GB2312" w:hAnsi="仿宋" w:eastAsia="仿宋_GB2312" w:cs="仿宋"/>
          <w:color w:val="auto"/>
          <w:spacing w:val="-4"/>
          <w:sz w:val="32"/>
          <w:szCs w:val="32"/>
          <w:highlight w:val="none"/>
          <w:lang w:eastAsia="zh-CN"/>
        </w:rPr>
        <w:t>万元</w:t>
      </w:r>
      <w:r>
        <w:rPr>
          <w:rFonts w:hint="eastAsia" w:ascii="仿宋_GB2312" w:hAnsi="仿宋" w:eastAsia="仿宋_GB2312" w:cs="仿宋"/>
          <w:color w:val="auto"/>
          <w:spacing w:val="-4"/>
          <w:sz w:val="32"/>
          <w:szCs w:val="32"/>
          <w:highlight w:val="none"/>
        </w:rPr>
        <w:t>；调入资金</w:t>
      </w:r>
      <w:r>
        <w:rPr>
          <w:rFonts w:hint="eastAsia" w:ascii="仿宋_GB2312" w:hAnsi="仿宋" w:eastAsia="仿宋_GB2312" w:cs="仿宋"/>
          <w:color w:val="auto"/>
          <w:spacing w:val="-4"/>
          <w:sz w:val="32"/>
          <w:szCs w:val="32"/>
          <w:highlight w:val="none"/>
          <w:lang w:val="en-US" w:eastAsia="zh-CN"/>
        </w:rPr>
        <w:t>29907</w:t>
      </w:r>
      <w:r>
        <w:rPr>
          <w:rFonts w:hint="eastAsia" w:ascii="仿宋_GB2312" w:hAnsi="仿宋" w:eastAsia="仿宋_GB2312" w:cs="仿宋"/>
          <w:color w:val="auto"/>
          <w:spacing w:val="-4"/>
          <w:sz w:val="32"/>
          <w:szCs w:val="32"/>
          <w:highlight w:val="none"/>
        </w:rPr>
        <w:t>万元。</w:t>
      </w:r>
      <w:r>
        <w:rPr>
          <w:rFonts w:hint="eastAsia" w:ascii="仿宋_GB2312" w:hAnsi="仿宋" w:eastAsia="仿宋_GB2312" w:cs="仿宋"/>
          <w:color w:val="auto"/>
          <w:sz w:val="32"/>
          <w:szCs w:val="32"/>
          <w:highlight w:val="none"/>
        </w:rPr>
        <w:t>一般</w:t>
      </w:r>
      <w:r>
        <w:rPr>
          <w:rFonts w:hint="eastAsia" w:ascii="仿宋_GB2312" w:hAnsi="仿宋" w:eastAsia="仿宋_GB2312" w:cs="仿宋"/>
          <w:color w:val="auto"/>
          <w:spacing w:val="-4"/>
          <w:sz w:val="32"/>
          <w:szCs w:val="32"/>
          <w:highlight w:val="none"/>
        </w:rPr>
        <w:t>公共预算支出总量</w:t>
      </w:r>
      <w:r>
        <w:rPr>
          <w:rFonts w:hint="eastAsia" w:ascii="仿宋_GB2312" w:hAnsi="仿宋" w:eastAsia="仿宋_GB2312" w:cs="仿宋"/>
          <w:color w:val="auto"/>
          <w:spacing w:val="-4"/>
          <w:sz w:val="32"/>
          <w:szCs w:val="32"/>
          <w:highlight w:val="none"/>
          <w:lang w:val="en-US" w:eastAsia="zh-CN"/>
        </w:rPr>
        <w:t>344402</w:t>
      </w:r>
      <w:r>
        <w:rPr>
          <w:rFonts w:hint="eastAsia" w:ascii="仿宋_GB2312" w:hAnsi="仿宋" w:eastAsia="仿宋_GB2312" w:cs="仿宋"/>
          <w:color w:val="auto"/>
          <w:spacing w:val="-4"/>
          <w:sz w:val="32"/>
          <w:szCs w:val="32"/>
          <w:highlight w:val="none"/>
          <w:lang w:eastAsia="zh-CN"/>
        </w:rPr>
        <w:t>万元</w:t>
      </w:r>
      <w:r>
        <w:rPr>
          <w:rFonts w:hint="eastAsia" w:ascii="仿宋_GB2312" w:hAnsi="仿宋" w:eastAsia="仿宋_GB2312" w:cs="仿宋"/>
          <w:color w:val="auto"/>
          <w:spacing w:val="-4"/>
          <w:sz w:val="32"/>
          <w:szCs w:val="32"/>
          <w:highlight w:val="none"/>
        </w:rPr>
        <w:t>，其中：地方一般公共预算支出</w:t>
      </w:r>
      <w:r>
        <w:rPr>
          <w:rFonts w:hint="eastAsia" w:ascii="仿宋_GB2312" w:hAnsi="仿宋" w:eastAsia="仿宋_GB2312" w:cs="仿宋"/>
          <w:color w:val="auto"/>
          <w:spacing w:val="-4"/>
          <w:sz w:val="32"/>
          <w:szCs w:val="32"/>
          <w:highlight w:val="none"/>
          <w:lang w:val="en-US" w:eastAsia="zh-CN"/>
        </w:rPr>
        <w:t>313004</w:t>
      </w:r>
      <w:r>
        <w:rPr>
          <w:rFonts w:hint="eastAsia" w:ascii="仿宋_GB2312" w:hAnsi="仿宋" w:eastAsia="仿宋_GB2312" w:cs="仿宋"/>
          <w:color w:val="auto"/>
          <w:spacing w:val="-4"/>
          <w:sz w:val="32"/>
          <w:szCs w:val="32"/>
          <w:highlight w:val="none"/>
          <w:lang w:eastAsia="zh-CN"/>
        </w:rPr>
        <w:t>万元，</w:t>
      </w:r>
      <w:r>
        <w:rPr>
          <w:rFonts w:hint="eastAsia" w:ascii="仿宋_GB2312" w:hAnsi="仿宋" w:eastAsia="仿宋_GB2312" w:cs="仿宋"/>
          <w:color w:val="auto"/>
          <w:spacing w:val="-4"/>
          <w:sz w:val="32"/>
          <w:szCs w:val="32"/>
          <w:highlight w:val="none"/>
        </w:rPr>
        <w:t>债务还本支出</w:t>
      </w:r>
      <w:r>
        <w:rPr>
          <w:rFonts w:hint="eastAsia" w:ascii="仿宋_GB2312" w:hAnsi="仿宋" w:eastAsia="仿宋_GB2312" w:cs="仿宋"/>
          <w:color w:val="auto"/>
          <w:spacing w:val="-4"/>
          <w:sz w:val="32"/>
          <w:szCs w:val="32"/>
          <w:highlight w:val="none"/>
          <w:lang w:val="en-US" w:eastAsia="zh-CN"/>
        </w:rPr>
        <w:t>11481</w:t>
      </w:r>
      <w:r>
        <w:rPr>
          <w:rFonts w:hint="eastAsia" w:ascii="仿宋_GB2312" w:hAnsi="仿宋" w:eastAsia="仿宋_GB2312" w:cs="仿宋"/>
          <w:color w:val="auto"/>
          <w:spacing w:val="-4"/>
          <w:sz w:val="32"/>
          <w:szCs w:val="32"/>
          <w:highlight w:val="none"/>
          <w:lang w:eastAsia="zh-CN"/>
        </w:rPr>
        <w:t>万元，</w:t>
      </w:r>
      <w:r>
        <w:rPr>
          <w:rFonts w:hint="eastAsia" w:ascii="仿宋_GB2312" w:hAnsi="仿宋" w:eastAsia="仿宋_GB2312" w:cs="仿宋"/>
          <w:color w:val="auto"/>
          <w:spacing w:val="-4"/>
          <w:sz w:val="32"/>
          <w:szCs w:val="32"/>
          <w:highlight w:val="none"/>
        </w:rPr>
        <w:t>上解支出</w:t>
      </w:r>
      <w:r>
        <w:rPr>
          <w:rFonts w:hint="eastAsia" w:ascii="仿宋_GB2312" w:hAnsi="仿宋" w:eastAsia="仿宋_GB2312" w:cs="仿宋"/>
          <w:color w:val="auto"/>
          <w:spacing w:val="-4"/>
          <w:sz w:val="32"/>
          <w:szCs w:val="32"/>
          <w:highlight w:val="none"/>
          <w:lang w:val="en-US" w:eastAsia="zh-CN"/>
        </w:rPr>
        <w:t>15285</w:t>
      </w:r>
      <w:r>
        <w:rPr>
          <w:rFonts w:hint="eastAsia" w:ascii="仿宋_GB2312" w:hAnsi="仿宋" w:eastAsia="仿宋_GB2312" w:cs="仿宋"/>
          <w:color w:val="auto"/>
          <w:spacing w:val="-4"/>
          <w:sz w:val="32"/>
          <w:szCs w:val="32"/>
          <w:highlight w:val="none"/>
          <w:lang w:eastAsia="zh-CN"/>
        </w:rPr>
        <w:t>万元，安排</w:t>
      </w:r>
      <w:r>
        <w:rPr>
          <w:rFonts w:hint="eastAsia" w:ascii="仿宋_GB2312" w:hAnsi="仿宋" w:eastAsia="仿宋_GB2312" w:cs="仿宋"/>
          <w:color w:val="auto"/>
          <w:spacing w:val="-4"/>
          <w:sz w:val="32"/>
          <w:szCs w:val="32"/>
          <w:highlight w:val="none"/>
        </w:rPr>
        <w:t>预算稳定调节基金</w:t>
      </w:r>
      <w:r>
        <w:rPr>
          <w:rFonts w:hint="eastAsia" w:ascii="仿宋_GB2312" w:hAnsi="仿宋" w:eastAsia="仿宋_GB2312" w:cs="仿宋"/>
          <w:color w:val="auto"/>
          <w:spacing w:val="-4"/>
          <w:sz w:val="32"/>
          <w:szCs w:val="32"/>
          <w:highlight w:val="none"/>
          <w:lang w:val="en-US" w:eastAsia="zh-CN"/>
        </w:rPr>
        <w:t>4632</w:t>
      </w:r>
      <w:r>
        <w:rPr>
          <w:rFonts w:hint="eastAsia" w:ascii="仿宋_GB2312" w:hAnsi="仿宋" w:eastAsia="仿宋_GB2312" w:cs="仿宋"/>
          <w:color w:val="auto"/>
          <w:spacing w:val="-4"/>
          <w:sz w:val="32"/>
          <w:szCs w:val="32"/>
          <w:highlight w:val="none"/>
        </w:rPr>
        <w:t>万元。</w:t>
      </w:r>
      <w:r>
        <w:rPr>
          <w:rFonts w:hint="eastAsia" w:ascii="仿宋_GB2312" w:hAnsi="仿宋" w:eastAsia="仿宋_GB2312" w:cs="仿宋"/>
          <w:color w:val="auto"/>
          <w:sz w:val="32"/>
          <w:szCs w:val="32"/>
          <w:highlight w:val="none"/>
        </w:rPr>
        <w:t>收支相抵，结转下年支出</w:t>
      </w:r>
      <w:r>
        <w:rPr>
          <w:rFonts w:hint="eastAsia" w:ascii="仿宋_GB2312" w:hAnsi="仿宋" w:eastAsia="仿宋_GB2312" w:cs="仿宋"/>
          <w:color w:val="auto"/>
          <w:sz w:val="32"/>
          <w:szCs w:val="32"/>
          <w:highlight w:val="none"/>
          <w:lang w:val="en-US" w:eastAsia="zh-CN"/>
        </w:rPr>
        <w:t>32383</w:t>
      </w:r>
      <w:r>
        <w:rPr>
          <w:rFonts w:hint="eastAsia" w:ascii="仿宋_GB2312" w:hAnsi="仿宋" w:eastAsia="仿宋_GB2312" w:cs="仿宋"/>
          <w:color w:val="auto"/>
          <w:sz w:val="32"/>
          <w:szCs w:val="32"/>
          <w:highlight w:val="none"/>
          <w:lang w:eastAsia="zh-CN"/>
        </w:rPr>
        <w:t>万元。</w:t>
      </w:r>
    </w:p>
    <w:p>
      <w:pPr>
        <w:keepNext w:val="0"/>
        <w:keepLines w:val="0"/>
        <w:pageBreakBefore w:val="0"/>
        <w:kinsoku/>
        <w:wordWrap/>
        <w:overflowPunct/>
        <w:topLinePunct w:val="0"/>
        <w:autoSpaceDE/>
        <w:autoSpaceDN/>
        <w:bidi w:val="0"/>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（二）政府性基金预算执行情况</w:t>
      </w:r>
    </w:p>
    <w:p>
      <w:pPr>
        <w:keepNext w:val="0"/>
        <w:keepLines w:val="0"/>
        <w:pageBreakBefore w:val="0"/>
        <w:kinsoku/>
        <w:wordWrap/>
        <w:overflowPunct/>
        <w:topLinePunct w:val="0"/>
        <w:autoSpaceDE/>
        <w:autoSpaceDN/>
        <w:bidi w:val="0"/>
        <w:spacing w:line="560" w:lineRule="exact"/>
        <w:ind w:firstLine="640" w:firstLineChars="200"/>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本级政府性基金收入完成</w:t>
      </w:r>
      <w:r>
        <w:rPr>
          <w:rFonts w:hint="eastAsia" w:ascii="仿宋_GB2312" w:hAnsi="仿宋" w:eastAsia="仿宋_GB2312" w:cs="仿宋"/>
          <w:color w:val="auto"/>
          <w:kern w:val="0"/>
          <w:sz w:val="32"/>
          <w:szCs w:val="32"/>
          <w:highlight w:val="none"/>
          <w:lang w:val="en-US" w:eastAsia="zh-CN"/>
        </w:rPr>
        <w:t>75710</w:t>
      </w:r>
      <w:r>
        <w:rPr>
          <w:rFonts w:hint="eastAsia" w:ascii="仿宋_GB2312" w:hAnsi="仿宋" w:eastAsia="仿宋_GB2312" w:cs="仿宋"/>
          <w:color w:val="auto"/>
          <w:kern w:val="0"/>
          <w:sz w:val="32"/>
          <w:szCs w:val="32"/>
          <w:highlight w:val="none"/>
          <w:lang w:eastAsia="zh-CN"/>
        </w:rPr>
        <w:t>万元</w:t>
      </w:r>
      <w:r>
        <w:rPr>
          <w:rFonts w:hint="eastAsia" w:ascii="仿宋_GB2312" w:hAnsi="仿宋" w:eastAsia="仿宋_GB2312" w:cs="仿宋"/>
          <w:color w:val="auto"/>
          <w:kern w:val="0"/>
          <w:sz w:val="32"/>
          <w:szCs w:val="32"/>
          <w:highlight w:val="none"/>
        </w:rPr>
        <w:t>,</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100</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kern w:val="0"/>
          <w:sz w:val="32"/>
          <w:szCs w:val="32"/>
          <w:highlight w:val="none"/>
        </w:rPr>
        <w:t>分项目完成情况为：</w:t>
      </w:r>
      <w:r>
        <w:rPr>
          <w:rFonts w:hint="eastAsia" w:ascii="仿宋_GB2312" w:hAnsi="仿宋" w:eastAsia="仿宋_GB2312" w:cs="仿宋"/>
          <w:color w:val="auto"/>
          <w:kern w:val="0"/>
          <w:sz w:val="32"/>
          <w:szCs w:val="32"/>
          <w:highlight w:val="none"/>
          <w:lang w:eastAsia="zh-CN"/>
        </w:rPr>
        <w:t>国有土地收益基金收入完成</w:t>
      </w:r>
      <w:r>
        <w:rPr>
          <w:rFonts w:hint="eastAsia" w:ascii="仿宋_GB2312" w:hAnsi="仿宋" w:eastAsia="仿宋_GB2312" w:cs="仿宋"/>
          <w:color w:val="auto"/>
          <w:kern w:val="0"/>
          <w:sz w:val="32"/>
          <w:szCs w:val="32"/>
          <w:highlight w:val="none"/>
          <w:lang w:val="en-US" w:eastAsia="zh-CN"/>
        </w:rPr>
        <w:t>1474万元，完成</w:t>
      </w:r>
      <w:r>
        <w:rPr>
          <w:rFonts w:hint="eastAsia" w:ascii="仿宋_GB2312" w:hAnsi="仿宋" w:eastAsia="仿宋_GB2312" w:cs="仿宋"/>
          <w:color w:val="auto"/>
          <w:sz w:val="32"/>
          <w:szCs w:val="32"/>
          <w:highlight w:val="none"/>
        </w:rPr>
        <w:t>调整预算数的</w:t>
      </w:r>
      <w:r>
        <w:rPr>
          <w:rFonts w:hint="eastAsia" w:ascii="仿宋_GB2312" w:hAnsi="仿宋" w:eastAsia="仿宋_GB2312" w:cs="仿宋"/>
          <w:color w:val="auto"/>
          <w:sz w:val="32"/>
          <w:szCs w:val="32"/>
          <w:highlight w:val="none"/>
          <w:lang w:val="en-US" w:eastAsia="zh-CN"/>
        </w:rPr>
        <w:t>74.3</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kern w:val="0"/>
          <w:sz w:val="32"/>
          <w:szCs w:val="32"/>
          <w:highlight w:val="none"/>
        </w:rPr>
        <w:t>国有土地使用权出让收入完成</w:t>
      </w:r>
      <w:r>
        <w:rPr>
          <w:rFonts w:hint="eastAsia" w:ascii="仿宋_GB2312" w:hAnsi="仿宋" w:eastAsia="仿宋_GB2312" w:cs="仿宋"/>
          <w:color w:val="auto"/>
          <w:kern w:val="0"/>
          <w:sz w:val="32"/>
          <w:szCs w:val="32"/>
          <w:highlight w:val="none"/>
          <w:lang w:val="en-US" w:eastAsia="zh-CN"/>
        </w:rPr>
        <w:t>55345</w:t>
      </w:r>
      <w:r>
        <w:rPr>
          <w:rFonts w:hint="eastAsia" w:ascii="仿宋_GB2312" w:hAnsi="仿宋" w:eastAsia="仿宋_GB2312" w:cs="仿宋"/>
          <w:color w:val="auto"/>
          <w:kern w:val="0"/>
          <w:sz w:val="32"/>
          <w:szCs w:val="32"/>
          <w:highlight w:val="none"/>
          <w:lang w:eastAsia="zh-CN"/>
        </w:rPr>
        <w:t>万元</w:t>
      </w:r>
      <w:r>
        <w:rPr>
          <w:rFonts w:hint="eastAsia" w:ascii="仿宋_GB2312" w:hAnsi="仿宋" w:eastAsia="仿宋_GB2312" w:cs="仿宋"/>
          <w:color w:val="auto"/>
          <w:kern w:val="0"/>
          <w:sz w:val="32"/>
          <w:szCs w:val="32"/>
          <w:highlight w:val="none"/>
        </w:rPr>
        <w:t>，</w:t>
      </w:r>
      <w:r>
        <w:rPr>
          <w:rFonts w:hint="eastAsia" w:ascii="仿宋_GB2312" w:hAnsi="仿宋" w:eastAsia="仿宋_GB2312" w:cs="仿宋"/>
          <w:color w:val="auto"/>
          <w:kern w:val="0"/>
          <w:sz w:val="32"/>
          <w:szCs w:val="32"/>
          <w:highlight w:val="none"/>
          <w:lang w:val="en-US" w:eastAsia="zh-CN"/>
        </w:rPr>
        <w:t>完成</w:t>
      </w:r>
      <w:r>
        <w:rPr>
          <w:rFonts w:hint="eastAsia" w:ascii="仿宋_GB2312" w:hAnsi="仿宋" w:eastAsia="仿宋_GB2312" w:cs="仿宋"/>
          <w:color w:val="auto"/>
          <w:sz w:val="32"/>
          <w:szCs w:val="32"/>
          <w:highlight w:val="none"/>
        </w:rPr>
        <w:t>调整预算数的</w:t>
      </w:r>
      <w:r>
        <w:rPr>
          <w:rFonts w:hint="eastAsia" w:ascii="仿宋_GB2312" w:hAnsi="仿宋" w:eastAsia="仿宋_GB2312" w:cs="仿宋"/>
          <w:color w:val="auto"/>
          <w:sz w:val="32"/>
          <w:szCs w:val="32"/>
          <w:highlight w:val="none"/>
          <w:lang w:val="en-US" w:eastAsia="zh-CN"/>
        </w:rPr>
        <w:t>99.6</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kern w:val="0"/>
          <w:sz w:val="32"/>
          <w:szCs w:val="32"/>
          <w:highlight w:val="none"/>
        </w:rPr>
        <w:t>城市基础设施配套费收入完成</w:t>
      </w:r>
      <w:r>
        <w:rPr>
          <w:rFonts w:hint="eastAsia" w:ascii="仿宋_GB2312" w:hAnsi="仿宋" w:eastAsia="仿宋_GB2312" w:cs="仿宋"/>
          <w:color w:val="auto"/>
          <w:kern w:val="0"/>
          <w:sz w:val="32"/>
          <w:szCs w:val="32"/>
          <w:highlight w:val="none"/>
          <w:lang w:val="en-US" w:eastAsia="zh-CN"/>
        </w:rPr>
        <w:t>642</w:t>
      </w:r>
      <w:r>
        <w:rPr>
          <w:rFonts w:hint="eastAsia" w:ascii="仿宋_GB2312" w:hAnsi="仿宋" w:eastAsia="仿宋_GB2312" w:cs="仿宋"/>
          <w:color w:val="auto"/>
          <w:kern w:val="0"/>
          <w:sz w:val="32"/>
          <w:szCs w:val="32"/>
          <w:highlight w:val="none"/>
        </w:rPr>
        <w:t>万元，</w:t>
      </w:r>
      <w:r>
        <w:rPr>
          <w:rFonts w:hint="eastAsia" w:ascii="仿宋_GB2312" w:hAnsi="仿宋" w:eastAsia="仿宋_GB2312" w:cs="仿宋"/>
          <w:color w:val="auto"/>
          <w:kern w:val="0"/>
          <w:sz w:val="32"/>
          <w:szCs w:val="32"/>
          <w:highlight w:val="none"/>
          <w:lang w:val="en-US" w:eastAsia="zh-CN"/>
        </w:rPr>
        <w:t>完成</w:t>
      </w:r>
      <w:r>
        <w:rPr>
          <w:rFonts w:hint="eastAsia" w:ascii="仿宋_GB2312" w:hAnsi="仿宋" w:eastAsia="仿宋_GB2312" w:cs="仿宋"/>
          <w:color w:val="auto"/>
          <w:sz w:val="32"/>
          <w:szCs w:val="32"/>
          <w:highlight w:val="none"/>
        </w:rPr>
        <w:t>调整预算数的</w:t>
      </w:r>
      <w:r>
        <w:rPr>
          <w:rFonts w:hint="eastAsia" w:ascii="仿宋_GB2312" w:hAnsi="仿宋" w:eastAsia="仿宋_GB2312" w:cs="仿宋"/>
          <w:color w:val="auto"/>
          <w:sz w:val="32"/>
          <w:szCs w:val="32"/>
          <w:highlight w:val="none"/>
          <w:lang w:val="en-US" w:eastAsia="zh-CN"/>
        </w:rPr>
        <w:t>100.9</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kern w:val="0"/>
          <w:sz w:val="32"/>
          <w:szCs w:val="32"/>
          <w:highlight w:val="none"/>
        </w:rPr>
        <w:t>污水处理费收入完成</w:t>
      </w:r>
      <w:r>
        <w:rPr>
          <w:rFonts w:hint="eastAsia" w:ascii="仿宋_GB2312" w:hAnsi="仿宋" w:eastAsia="仿宋_GB2312" w:cs="仿宋"/>
          <w:color w:val="auto"/>
          <w:kern w:val="0"/>
          <w:sz w:val="32"/>
          <w:szCs w:val="32"/>
          <w:highlight w:val="none"/>
          <w:lang w:val="en-US" w:eastAsia="zh-CN"/>
        </w:rPr>
        <w:t>803</w:t>
      </w:r>
      <w:r>
        <w:rPr>
          <w:rFonts w:hint="eastAsia" w:ascii="仿宋_GB2312" w:hAnsi="仿宋" w:eastAsia="仿宋_GB2312" w:cs="仿宋"/>
          <w:color w:val="auto"/>
          <w:kern w:val="0"/>
          <w:sz w:val="32"/>
          <w:szCs w:val="32"/>
          <w:highlight w:val="none"/>
        </w:rPr>
        <w:t>万元，</w:t>
      </w:r>
      <w:r>
        <w:rPr>
          <w:rFonts w:hint="eastAsia" w:ascii="仿宋_GB2312" w:hAnsi="仿宋" w:eastAsia="仿宋_GB2312" w:cs="仿宋"/>
          <w:color w:val="auto"/>
          <w:kern w:val="0"/>
          <w:sz w:val="32"/>
          <w:szCs w:val="32"/>
          <w:highlight w:val="none"/>
          <w:lang w:val="en-US" w:eastAsia="zh-CN"/>
        </w:rPr>
        <w:t>完成</w:t>
      </w:r>
      <w:r>
        <w:rPr>
          <w:rFonts w:hint="eastAsia" w:ascii="仿宋_GB2312" w:hAnsi="仿宋" w:eastAsia="仿宋_GB2312" w:cs="仿宋"/>
          <w:color w:val="auto"/>
          <w:sz w:val="32"/>
          <w:szCs w:val="32"/>
          <w:highlight w:val="none"/>
        </w:rPr>
        <w:t>调整预算数的</w:t>
      </w:r>
      <w:r>
        <w:rPr>
          <w:rFonts w:hint="eastAsia" w:ascii="仿宋_GB2312" w:hAnsi="仿宋" w:eastAsia="仿宋_GB2312" w:cs="仿宋"/>
          <w:color w:val="auto"/>
          <w:sz w:val="32"/>
          <w:szCs w:val="32"/>
          <w:highlight w:val="none"/>
          <w:lang w:val="en-US" w:eastAsia="zh-CN"/>
        </w:rPr>
        <w:t>103.6</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kern w:val="0"/>
          <w:sz w:val="32"/>
          <w:szCs w:val="32"/>
          <w:highlight w:val="none"/>
        </w:rPr>
        <w:t>车辆通行费收入</w:t>
      </w:r>
      <w:r>
        <w:rPr>
          <w:rFonts w:ascii="仿宋_GB2312" w:hAnsi="仿宋" w:eastAsia="仿宋_GB2312" w:cs="仿宋"/>
          <w:color w:val="auto"/>
          <w:kern w:val="0"/>
          <w:sz w:val="32"/>
          <w:szCs w:val="32"/>
          <w:highlight w:val="none"/>
        </w:rPr>
        <w:t>完成</w:t>
      </w:r>
      <w:r>
        <w:rPr>
          <w:rFonts w:hint="eastAsia" w:ascii="仿宋_GB2312" w:hAnsi="仿宋" w:eastAsia="仿宋_GB2312" w:cs="仿宋"/>
          <w:color w:val="auto"/>
          <w:kern w:val="0"/>
          <w:sz w:val="32"/>
          <w:szCs w:val="32"/>
          <w:highlight w:val="none"/>
          <w:lang w:val="en-US" w:eastAsia="zh-CN"/>
        </w:rPr>
        <w:t>1085</w:t>
      </w:r>
      <w:r>
        <w:rPr>
          <w:rFonts w:hint="eastAsia" w:ascii="仿宋_GB2312" w:hAnsi="仿宋" w:eastAsia="仿宋_GB2312" w:cs="仿宋"/>
          <w:color w:val="auto"/>
          <w:kern w:val="0"/>
          <w:sz w:val="32"/>
          <w:szCs w:val="32"/>
          <w:highlight w:val="none"/>
        </w:rPr>
        <w:t>万元，</w:t>
      </w:r>
      <w:r>
        <w:rPr>
          <w:rFonts w:hint="eastAsia" w:ascii="仿宋_GB2312" w:hAnsi="仿宋" w:eastAsia="仿宋_GB2312" w:cs="仿宋"/>
          <w:color w:val="auto"/>
          <w:kern w:val="0"/>
          <w:sz w:val="32"/>
          <w:szCs w:val="32"/>
          <w:highlight w:val="none"/>
          <w:lang w:val="en-US" w:eastAsia="zh-CN"/>
        </w:rPr>
        <w:t>完成</w:t>
      </w:r>
      <w:r>
        <w:rPr>
          <w:rFonts w:hint="eastAsia" w:ascii="仿宋_GB2312" w:hAnsi="仿宋" w:eastAsia="仿宋_GB2312" w:cs="仿宋"/>
          <w:color w:val="auto"/>
          <w:sz w:val="32"/>
          <w:szCs w:val="32"/>
          <w:highlight w:val="none"/>
        </w:rPr>
        <w:t>调整预算数的</w:t>
      </w:r>
      <w:r>
        <w:rPr>
          <w:rFonts w:hint="eastAsia" w:ascii="仿宋_GB2312" w:hAnsi="仿宋" w:eastAsia="仿宋_GB2312" w:cs="仿宋"/>
          <w:color w:val="auto"/>
          <w:sz w:val="32"/>
          <w:szCs w:val="32"/>
          <w:highlight w:val="none"/>
          <w:lang w:val="en-US" w:eastAsia="zh-CN"/>
        </w:rPr>
        <w:t>91.5</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kern w:val="0"/>
          <w:sz w:val="32"/>
          <w:szCs w:val="32"/>
          <w:highlight w:val="none"/>
        </w:rPr>
        <w:t>专项债券对应项目专项收入完成</w:t>
      </w:r>
      <w:r>
        <w:rPr>
          <w:rFonts w:hint="eastAsia" w:ascii="仿宋_GB2312" w:hAnsi="仿宋" w:eastAsia="仿宋_GB2312" w:cs="仿宋"/>
          <w:color w:val="auto"/>
          <w:kern w:val="0"/>
          <w:sz w:val="32"/>
          <w:szCs w:val="32"/>
          <w:highlight w:val="none"/>
          <w:lang w:val="en-US" w:eastAsia="zh-CN"/>
        </w:rPr>
        <w:t>16361</w:t>
      </w:r>
      <w:r>
        <w:rPr>
          <w:rFonts w:hint="eastAsia" w:ascii="仿宋_GB2312" w:hAnsi="仿宋" w:eastAsia="仿宋_GB2312" w:cs="仿宋"/>
          <w:color w:val="auto"/>
          <w:kern w:val="0"/>
          <w:sz w:val="32"/>
          <w:szCs w:val="32"/>
          <w:highlight w:val="none"/>
          <w:lang w:eastAsia="zh-CN"/>
        </w:rPr>
        <w:t>万元，</w:t>
      </w:r>
      <w:r>
        <w:rPr>
          <w:rFonts w:hint="eastAsia" w:ascii="仿宋_GB2312" w:hAnsi="仿宋" w:eastAsia="仿宋_GB2312" w:cs="仿宋"/>
          <w:color w:val="auto"/>
          <w:kern w:val="0"/>
          <w:sz w:val="32"/>
          <w:szCs w:val="32"/>
          <w:highlight w:val="none"/>
          <w:lang w:val="en-US" w:eastAsia="zh-CN"/>
        </w:rPr>
        <w:t>完成</w:t>
      </w:r>
      <w:r>
        <w:rPr>
          <w:rFonts w:hint="eastAsia" w:ascii="仿宋_GB2312" w:hAnsi="仿宋" w:eastAsia="仿宋_GB2312" w:cs="仿宋"/>
          <w:color w:val="auto"/>
          <w:sz w:val="32"/>
          <w:szCs w:val="32"/>
          <w:highlight w:val="none"/>
        </w:rPr>
        <w:t>调整预算数的</w:t>
      </w:r>
      <w:r>
        <w:rPr>
          <w:rFonts w:hint="eastAsia" w:ascii="仿宋_GB2312" w:hAnsi="仿宋" w:eastAsia="仿宋_GB2312" w:cs="仿宋"/>
          <w:color w:val="auto"/>
          <w:sz w:val="32"/>
          <w:szCs w:val="32"/>
          <w:highlight w:val="none"/>
          <w:lang w:val="en-US" w:eastAsia="zh-CN"/>
        </w:rPr>
        <w:t>105.4</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kern w:val="0"/>
          <w:sz w:val="32"/>
          <w:szCs w:val="32"/>
          <w:highlight w:val="none"/>
        </w:rPr>
        <w:t>。</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rPr>
        <w:t>政府性基金支出</w:t>
      </w:r>
      <w:r>
        <w:rPr>
          <w:rFonts w:hint="eastAsia" w:ascii="仿宋_GB2312" w:hAnsi="仿宋" w:eastAsia="仿宋_GB2312" w:cs="仿宋"/>
          <w:color w:val="auto"/>
          <w:sz w:val="32"/>
          <w:szCs w:val="32"/>
          <w:highlight w:val="none"/>
          <w:lang w:val="en-US" w:eastAsia="zh-CN"/>
        </w:rPr>
        <w:t>181707</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val="en-US" w:eastAsia="zh-CN"/>
        </w:rPr>
        <w:t>完成</w:t>
      </w:r>
      <w:r>
        <w:rPr>
          <w:rFonts w:hint="eastAsia" w:ascii="仿宋_GB2312" w:hAnsi="仿宋" w:eastAsia="仿宋_GB2312" w:cs="仿宋"/>
          <w:color w:val="auto"/>
          <w:sz w:val="32"/>
          <w:szCs w:val="32"/>
          <w:highlight w:val="none"/>
        </w:rPr>
        <w:t>调整预算数的</w:t>
      </w:r>
      <w:r>
        <w:rPr>
          <w:rFonts w:hint="eastAsia" w:ascii="仿宋_GB2312" w:hAnsi="仿宋" w:eastAsia="仿宋_GB2312" w:cs="仿宋"/>
          <w:color w:val="auto"/>
          <w:sz w:val="32"/>
          <w:szCs w:val="32"/>
          <w:highlight w:val="none"/>
          <w:lang w:val="en-US" w:eastAsia="zh-CN"/>
        </w:rPr>
        <w:t>95.2</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其中</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文化旅游体育与传媒支出</w:t>
      </w:r>
      <w:r>
        <w:rPr>
          <w:rFonts w:hint="eastAsia" w:ascii="仿宋_GB2312" w:hAnsi="仿宋" w:eastAsia="仿宋_GB2312" w:cs="仿宋"/>
          <w:color w:val="auto"/>
          <w:sz w:val="32"/>
          <w:szCs w:val="32"/>
          <w:highlight w:val="none"/>
          <w:lang w:val="en-US" w:eastAsia="zh-CN"/>
        </w:rPr>
        <w:t>31万元，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100</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社会保障和就业支出</w:t>
      </w:r>
      <w:r>
        <w:rPr>
          <w:rFonts w:hint="eastAsia" w:ascii="仿宋_GB2312" w:hAnsi="仿宋" w:eastAsia="仿宋_GB2312" w:cs="仿宋"/>
          <w:color w:val="auto"/>
          <w:sz w:val="32"/>
          <w:szCs w:val="32"/>
          <w:highlight w:val="none"/>
          <w:lang w:val="en-US" w:eastAsia="zh-CN"/>
        </w:rPr>
        <w:t>5164</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87.1</w:t>
      </w:r>
      <w:r>
        <w:rPr>
          <w:rFonts w:hint="eastAsia" w:ascii="仿宋_GB2312" w:hAnsi="仿宋" w:eastAsia="仿宋_GB2312" w:cs="仿宋"/>
          <w:color w:val="auto"/>
          <w:sz w:val="32"/>
          <w:szCs w:val="32"/>
          <w:highlight w:val="none"/>
        </w:rPr>
        <w:t>%；城乡社区</w:t>
      </w:r>
      <w:r>
        <w:rPr>
          <w:rFonts w:hint="eastAsia" w:ascii="仿宋_GB2312" w:hAnsi="仿宋" w:eastAsia="仿宋_GB2312" w:cs="仿宋"/>
          <w:color w:val="auto"/>
          <w:sz w:val="32"/>
          <w:szCs w:val="32"/>
          <w:highlight w:val="none"/>
          <w:lang w:eastAsia="zh-CN"/>
        </w:rPr>
        <w:t>事务</w:t>
      </w:r>
      <w:r>
        <w:rPr>
          <w:rFonts w:hint="eastAsia" w:ascii="仿宋_GB2312" w:hAnsi="仿宋" w:eastAsia="仿宋_GB2312" w:cs="仿宋"/>
          <w:color w:val="auto"/>
          <w:sz w:val="32"/>
          <w:szCs w:val="32"/>
          <w:highlight w:val="none"/>
        </w:rPr>
        <w:t>支出</w:t>
      </w:r>
      <w:r>
        <w:rPr>
          <w:rFonts w:hint="eastAsia" w:ascii="仿宋_GB2312" w:hAnsi="仿宋" w:eastAsia="仿宋_GB2312" w:cs="仿宋"/>
          <w:color w:val="auto"/>
          <w:sz w:val="32"/>
          <w:szCs w:val="32"/>
          <w:highlight w:val="none"/>
          <w:lang w:val="en-US" w:eastAsia="zh-CN"/>
        </w:rPr>
        <w:t>74305</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99.8</w:t>
      </w:r>
      <w:r>
        <w:rPr>
          <w:rFonts w:hint="eastAsia" w:ascii="仿宋_GB2312" w:hAnsi="仿宋" w:eastAsia="仿宋_GB2312" w:cs="仿宋"/>
          <w:color w:val="auto"/>
          <w:sz w:val="32"/>
          <w:szCs w:val="32"/>
          <w:highlight w:val="none"/>
        </w:rPr>
        <w:t>%；农林水支出</w:t>
      </w:r>
      <w:r>
        <w:rPr>
          <w:rFonts w:hint="eastAsia" w:ascii="仿宋_GB2312" w:hAnsi="仿宋" w:eastAsia="仿宋_GB2312" w:cs="仿宋"/>
          <w:color w:val="auto"/>
          <w:sz w:val="32"/>
          <w:szCs w:val="32"/>
          <w:highlight w:val="none"/>
          <w:lang w:val="en-US" w:eastAsia="zh-CN"/>
        </w:rPr>
        <w:t>57986</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87.6</w:t>
      </w:r>
      <w:r>
        <w:rPr>
          <w:rFonts w:hint="eastAsia" w:ascii="仿宋_GB2312" w:hAnsi="仿宋" w:eastAsia="仿宋_GB2312" w:cs="仿宋"/>
          <w:color w:val="auto"/>
          <w:sz w:val="32"/>
          <w:szCs w:val="32"/>
          <w:highlight w:val="none"/>
        </w:rPr>
        <w:t>%；交通运输支出</w:t>
      </w:r>
      <w:r>
        <w:rPr>
          <w:rFonts w:hint="eastAsia" w:ascii="仿宋_GB2312" w:hAnsi="仿宋" w:eastAsia="仿宋_GB2312" w:cs="仿宋"/>
          <w:color w:val="auto"/>
          <w:sz w:val="32"/>
          <w:szCs w:val="32"/>
          <w:highlight w:val="none"/>
          <w:lang w:val="en-US" w:eastAsia="zh-CN"/>
        </w:rPr>
        <w:t>1194</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100</w:t>
      </w:r>
      <w:r>
        <w:rPr>
          <w:rFonts w:hint="eastAsia" w:ascii="仿宋_GB2312" w:hAnsi="仿宋" w:eastAsia="仿宋_GB2312" w:cs="仿宋"/>
          <w:color w:val="auto"/>
          <w:sz w:val="32"/>
          <w:szCs w:val="32"/>
          <w:highlight w:val="none"/>
        </w:rPr>
        <w:t>%；其它支出</w:t>
      </w:r>
      <w:r>
        <w:rPr>
          <w:rFonts w:hint="eastAsia" w:ascii="仿宋_GB2312" w:hAnsi="仿宋" w:eastAsia="仿宋_GB2312" w:cs="仿宋"/>
          <w:color w:val="auto"/>
          <w:sz w:val="32"/>
          <w:szCs w:val="32"/>
          <w:highlight w:val="none"/>
          <w:lang w:val="en-US" w:eastAsia="zh-CN"/>
        </w:rPr>
        <w:t>36102</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99.7</w:t>
      </w:r>
      <w:r>
        <w:rPr>
          <w:rFonts w:hint="eastAsia" w:ascii="仿宋_GB2312" w:hAnsi="仿宋" w:eastAsia="仿宋_GB2312" w:cs="仿宋"/>
          <w:color w:val="auto"/>
          <w:sz w:val="32"/>
          <w:szCs w:val="32"/>
          <w:highlight w:val="none"/>
        </w:rPr>
        <w:t>%，主要是专项债券转贷资金；债务付息</w:t>
      </w:r>
      <w:r>
        <w:rPr>
          <w:rFonts w:hint="eastAsia" w:ascii="仿宋_GB2312" w:hAnsi="仿宋" w:eastAsia="仿宋_GB2312" w:cs="仿宋"/>
          <w:color w:val="auto"/>
          <w:sz w:val="32"/>
          <w:szCs w:val="32"/>
          <w:highlight w:val="none"/>
          <w:lang w:eastAsia="zh-CN"/>
        </w:rPr>
        <w:t>支出</w:t>
      </w:r>
      <w:r>
        <w:rPr>
          <w:rFonts w:hint="eastAsia" w:ascii="仿宋_GB2312" w:hAnsi="仿宋" w:eastAsia="仿宋_GB2312" w:cs="仿宋"/>
          <w:color w:val="auto"/>
          <w:sz w:val="32"/>
          <w:szCs w:val="32"/>
          <w:highlight w:val="none"/>
          <w:lang w:val="en-US" w:eastAsia="zh-CN"/>
        </w:rPr>
        <w:t>6878万元，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100</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；债务</w:t>
      </w:r>
      <w:r>
        <w:rPr>
          <w:rFonts w:hint="eastAsia" w:ascii="仿宋_GB2312" w:hAnsi="仿宋" w:eastAsia="仿宋_GB2312" w:cs="仿宋"/>
          <w:color w:val="auto"/>
          <w:sz w:val="32"/>
          <w:szCs w:val="32"/>
          <w:highlight w:val="none"/>
        </w:rPr>
        <w:t>发行费支出</w:t>
      </w:r>
      <w:r>
        <w:rPr>
          <w:rFonts w:hint="eastAsia" w:ascii="仿宋_GB2312" w:hAnsi="仿宋" w:eastAsia="仿宋_GB2312" w:cs="仿宋"/>
          <w:color w:val="auto"/>
          <w:sz w:val="32"/>
          <w:szCs w:val="32"/>
          <w:highlight w:val="none"/>
          <w:lang w:val="en-US" w:eastAsia="zh-CN"/>
        </w:rPr>
        <w:t>47</w:t>
      </w:r>
      <w:r>
        <w:rPr>
          <w:rFonts w:hint="eastAsia" w:ascii="仿宋_GB2312" w:hAnsi="仿宋" w:eastAsia="仿宋_GB2312" w:cs="仿宋"/>
          <w:color w:val="auto"/>
          <w:sz w:val="32"/>
          <w:szCs w:val="32"/>
          <w:highlight w:val="none"/>
        </w:rPr>
        <w:t>万元</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100</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p>
    <w:p>
      <w:pPr>
        <w:keepNext w:val="0"/>
        <w:keepLines w:val="0"/>
        <w:pageBreakBefore w:val="0"/>
        <w:widowControl/>
        <w:kinsoku/>
        <w:wordWrap/>
        <w:overflowPunct/>
        <w:topLinePunct w:val="0"/>
        <w:autoSpaceDE/>
        <w:autoSpaceDN/>
        <w:bidi w:val="0"/>
        <w:spacing w:line="560" w:lineRule="exact"/>
        <w:ind w:firstLine="640" w:firstLineChars="200"/>
        <w:textAlignment w:val="bottom"/>
        <w:rPr>
          <w:rFonts w:ascii="仿宋_GB2312" w:hAnsi="仿宋" w:eastAsia="仿宋_GB2312" w:cs="仿宋"/>
          <w:color w:val="auto"/>
          <w:sz w:val="32"/>
          <w:szCs w:val="32"/>
          <w:highlight w:val="none"/>
        </w:rPr>
      </w:pPr>
      <w:r>
        <w:rPr>
          <w:rFonts w:hint="eastAsia" w:ascii="仿宋_GB2312" w:hAnsi="仿宋" w:eastAsia="仿宋_GB2312" w:cs="仿宋"/>
          <w:color w:val="auto"/>
          <w:kern w:val="0"/>
          <w:sz w:val="32"/>
          <w:szCs w:val="32"/>
          <w:highlight w:val="none"/>
        </w:rPr>
        <w:t>平衡情况。全县政府性基金收入总量</w:t>
      </w:r>
      <w:r>
        <w:rPr>
          <w:rFonts w:hint="eastAsia" w:ascii="仿宋_GB2312" w:hAnsi="仿宋" w:eastAsia="仿宋_GB2312" w:cs="仿宋"/>
          <w:color w:val="auto"/>
          <w:kern w:val="0"/>
          <w:sz w:val="32"/>
          <w:szCs w:val="32"/>
          <w:highlight w:val="none"/>
          <w:lang w:val="en-US" w:eastAsia="zh-CN"/>
        </w:rPr>
        <w:t>223905</w:t>
      </w:r>
      <w:r>
        <w:rPr>
          <w:rFonts w:hint="eastAsia" w:ascii="仿宋_GB2312" w:hAnsi="仿宋" w:eastAsia="仿宋_GB2312" w:cs="仿宋"/>
          <w:color w:val="auto"/>
          <w:kern w:val="0"/>
          <w:sz w:val="32"/>
          <w:szCs w:val="32"/>
          <w:highlight w:val="none"/>
          <w:lang w:eastAsia="zh-CN"/>
        </w:rPr>
        <w:t>万元</w:t>
      </w:r>
      <w:r>
        <w:rPr>
          <w:rFonts w:hint="eastAsia" w:ascii="仿宋_GB2312" w:hAnsi="仿宋" w:eastAsia="仿宋_GB2312" w:cs="仿宋"/>
          <w:color w:val="auto"/>
          <w:kern w:val="0"/>
          <w:sz w:val="32"/>
          <w:szCs w:val="32"/>
          <w:highlight w:val="none"/>
        </w:rPr>
        <w:t>，其中：本级基金收入</w:t>
      </w:r>
      <w:r>
        <w:rPr>
          <w:rFonts w:hint="eastAsia" w:ascii="仿宋_GB2312" w:hAnsi="仿宋" w:eastAsia="仿宋_GB2312" w:cs="仿宋"/>
          <w:color w:val="auto"/>
          <w:kern w:val="0"/>
          <w:sz w:val="32"/>
          <w:szCs w:val="32"/>
          <w:highlight w:val="none"/>
          <w:lang w:val="en-US" w:eastAsia="zh-CN"/>
        </w:rPr>
        <w:t>75710</w:t>
      </w:r>
      <w:r>
        <w:rPr>
          <w:rFonts w:hint="eastAsia" w:ascii="仿宋_GB2312" w:hAnsi="仿宋" w:eastAsia="仿宋_GB2312" w:cs="仿宋"/>
          <w:color w:val="auto"/>
          <w:kern w:val="0"/>
          <w:sz w:val="32"/>
          <w:szCs w:val="32"/>
          <w:highlight w:val="none"/>
          <w:lang w:eastAsia="zh-CN"/>
        </w:rPr>
        <w:t>万元</w:t>
      </w:r>
      <w:r>
        <w:rPr>
          <w:rFonts w:hint="eastAsia" w:ascii="仿宋_GB2312" w:hAnsi="仿宋" w:eastAsia="仿宋_GB2312" w:cs="仿宋"/>
          <w:color w:val="auto"/>
          <w:kern w:val="0"/>
          <w:sz w:val="32"/>
          <w:szCs w:val="32"/>
          <w:highlight w:val="none"/>
        </w:rPr>
        <w:t>，专项转移支付收入</w:t>
      </w:r>
      <w:r>
        <w:rPr>
          <w:rFonts w:hint="eastAsia" w:ascii="仿宋_GB2312" w:hAnsi="仿宋" w:eastAsia="仿宋_GB2312" w:cs="仿宋"/>
          <w:color w:val="auto"/>
          <w:kern w:val="0"/>
          <w:sz w:val="32"/>
          <w:szCs w:val="32"/>
          <w:highlight w:val="none"/>
          <w:lang w:val="en-US" w:eastAsia="zh-CN"/>
        </w:rPr>
        <w:t>72934</w:t>
      </w:r>
      <w:r>
        <w:rPr>
          <w:rFonts w:hint="eastAsia" w:ascii="仿宋_GB2312" w:hAnsi="仿宋" w:eastAsia="仿宋_GB2312" w:cs="仿宋"/>
          <w:color w:val="auto"/>
          <w:kern w:val="0"/>
          <w:sz w:val="32"/>
          <w:szCs w:val="32"/>
          <w:highlight w:val="none"/>
          <w:lang w:eastAsia="zh-CN"/>
        </w:rPr>
        <w:t>万元</w:t>
      </w:r>
      <w:r>
        <w:rPr>
          <w:rFonts w:hint="eastAsia" w:ascii="仿宋_GB2312" w:hAnsi="仿宋" w:eastAsia="仿宋_GB2312" w:cs="仿宋"/>
          <w:color w:val="auto"/>
          <w:kern w:val="0"/>
          <w:sz w:val="32"/>
          <w:szCs w:val="32"/>
          <w:highlight w:val="none"/>
        </w:rPr>
        <w:t>，上年结转</w:t>
      </w:r>
      <w:r>
        <w:rPr>
          <w:rFonts w:hint="eastAsia" w:ascii="仿宋_GB2312" w:hAnsi="仿宋" w:eastAsia="仿宋_GB2312" w:cs="仿宋"/>
          <w:color w:val="auto"/>
          <w:kern w:val="0"/>
          <w:sz w:val="32"/>
          <w:szCs w:val="32"/>
          <w:highlight w:val="none"/>
          <w:lang w:eastAsia="zh-CN"/>
        </w:rPr>
        <w:t>收入</w:t>
      </w:r>
      <w:r>
        <w:rPr>
          <w:rFonts w:hint="eastAsia" w:ascii="仿宋_GB2312" w:hAnsi="仿宋" w:eastAsia="仿宋_GB2312" w:cs="仿宋"/>
          <w:color w:val="auto"/>
          <w:kern w:val="0"/>
          <w:sz w:val="32"/>
          <w:szCs w:val="32"/>
          <w:highlight w:val="none"/>
          <w:lang w:val="en-US" w:eastAsia="zh-CN"/>
        </w:rPr>
        <w:t>25411</w:t>
      </w:r>
      <w:r>
        <w:rPr>
          <w:rFonts w:hint="eastAsia" w:ascii="仿宋_GB2312" w:hAnsi="仿宋" w:eastAsia="仿宋_GB2312" w:cs="仿宋"/>
          <w:color w:val="auto"/>
          <w:kern w:val="0"/>
          <w:sz w:val="32"/>
          <w:szCs w:val="32"/>
          <w:highlight w:val="none"/>
          <w:lang w:eastAsia="zh-CN"/>
        </w:rPr>
        <w:t>万元</w:t>
      </w:r>
      <w:r>
        <w:rPr>
          <w:rFonts w:hint="eastAsia" w:ascii="仿宋_GB2312" w:hAnsi="仿宋" w:eastAsia="仿宋_GB2312" w:cs="仿宋"/>
          <w:color w:val="auto"/>
          <w:kern w:val="0"/>
          <w:sz w:val="32"/>
          <w:szCs w:val="32"/>
          <w:highlight w:val="none"/>
        </w:rPr>
        <w:t>，</w:t>
      </w:r>
      <w:r>
        <w:rPr>
          <w:rFonts w:hint="eastAsia" w:ascii="仿宋_GB2312" w:hAnsi="仿宋" w:eastAsia="仿宋_GB2312" w:cs="仿宋"/>
          <w:color w:val="auto"/>
          <w:sz w:val="32"/>
          <w:szCs w:val="32"/>
          <w:highlight w:val="none"/>
        </w:rPr>
        <w:t>专项债券转贷收入</w:t>
      </w:r>
      <w:r>
        <w:rPr>
          <w:rFonts w:hint="eastAsia" w:ascii="仿宋_GB2312" w:hAnsi="仿宋" w:eastAsia="仿宋_GB2312" w:cs="仿宋"/>
          <w:color w:val="auto"/>
          <w:sz w:val="32"/>
          <w:szCs w:val="32"/>
          <w:highlight w:val="none"/>
          <w:lang w:val="en-US" w:eastAsia="zh-CN"/>
        </w:rPr>
        <w:t>49850</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kern w:val="0"/>
          <w:sz w:val="32"/>
          <w:szCs w:val="32"/>
          <w:highlight w:val="none"/>
        </w:rPr>
        <w:t>。支出总量</w:t>
      </w:r>
      <w:r>
        <w:rPr>
          <w:rFonts w:hint="eastAsia" w:ascii="仿宋_GB2312" w:hAnsi="仿宋" w:eastAsia="仿宋_GB2312" w:cs="仿宋"/>
          <w:color w:val="auto"/>
          <w:kern w:val="0"/>
          <w:sz w:val="32"/>
          <w:szCs w:val="32"/>
          <w:highlight w:val="none"/>
          <w:lang w:val="en-US" w:eastAsia="zh-CN"/>
        </w:rPr>
        <w:t>200277</w:t>
      </w:r>
      <w:r>
        <w:rPr>
          <w:rFonts w:hint="eastAsia" w:ascii="仿宋_GB2312" w:hAnsi="仿宋" w:eastAsia="仿宋_GB2312" w:cs="仿宋"/>
          <w:color w:val="auto"/>
          <w:kern w:val="0"/>
          <w:sz w:val="32"/>
          <w:szCs w:val="32"/>
          <w:highlight w:val="none"/>
          <w:lang w:eastAsia="zh-CN"/>
        </w:rPr>
        <w:t>万元，其中：县本级支出</w:t>
      </w:r>
      <w:r>
        <w:rPr>
          <w:rFonts w:hint="eastAsia" w:ascii="仿宋_GB2312" w:hAnsi="仿宋" w:eastAsia="仿宋_GB2312" w:cs="仿宋"/>
          <w:color w:val="auto"/>
          <w:kern w:val="0"/>
          <w:sz w:val="32"/>
          <w:szCs w:val="32"/>
          <w:highlight w:val="none"/>
          <w:lang w:val="en-US" w:eastAsia="zh-CN"/>
        </w:rPr>
        <w:t>181707万元，债务还本支出14050万元，调出资金4520万元</w:t>
      </w:r>
      <w:r>
        <w:rPr>
          <w:rFonts w:hint="eastAsia" w:ascii="仿宋_GB2312" w:hAnsi="仿宋" w:eastAsia="仿宋_GB2312" w:cs="仿宋"/>
          <w:color w:val="auto"/>
          <w:kern w:val="0"/>
          <w:sz w:val="32"/>
          <w:szCs w:val="32"/>
          <w:highlight w:val="none"/>
        </w:rPr>
        <w:t>。收支相抵，结转下年</w:t>
      </w:r>
      <w:r>
        <w:rPr>
          <w:rFonts w:hint="eastAsia" w:ascii="仿宋_GB2312" w:hAnsi="仿宋" w:eastAsia="仿宋_GB2312" w:cs="仿宋"/>
          <w:color w:val="auto"/>
          <w:kern w:val="0"/>
          <w:sz w:val="32"/>
          <w:szCs w:val="32"/>
          <w:highlight w:val="none"/>
          <w:lang w:eastAsia="zh-CN"/>
        </w:rPr>
        <w:t>支出</w:t>
      </w:r>
      <w:r>
        <w:rPr>
          <w:rFonts w:hint="eastAsia" w:ascii="仿宋_GB2312" w:hAnsi="仿宋" w:eastAsia="仿宋_GB2312" w:cs="仿宋"/>
          <w:color w:val="auto"/>
          <w:kern w:val="0"/>
          <w:sz w:val="32"/>
          <w:szCs w:val="32"/>
          <w:highlight w:val="none"/>
          <w:lang w:val="en-US" w:eastAsia="zh-CN"/>
        </w:rPr>
        <w:t>23628</w:t>
      </w:r>
      <w:r>
        <w:rPr>
          <w:rFonts w:hint="eastAsia" w:ascii="仿宋_GB2312" w:hAnsi="仿宋" w:eastAsia="仿宋_GB2312" w:cs="仿宋"/>
          <w:color w:val="auto"/>
          <w:kern w:val="0"/>
          <w:sz w:val="32"/>
          <w:szCs w:val="32"/>
          <w:highlight w:val="none"/>
          <w:lang w:eastAsia="zh-CN"/>
        </w:rPr>
        <w:t>万元</w:t>
      </w:r>
      <w:r>
        <w:rPr>
          <w:rFonts w:hint="eastAsia" w:ascii="仿宋_GB2312" w:hAnsi="仿宋" w:eastAsia="仿宋_GB2312" w:cs="仿宋"/>
          <w:color w:val="auto"/>
          <w:kern w:val="0"/>
          <w:sz w:val="32"/>
          <w:szCs w:val="32"/>
          <w:highlight w:val="none"/>
        </w:rPr>
        <w:t>。</w:t>
      </w:r>
    </w:p>
    <w:p>
      <w:pPr>
        <w:keepNext w:val="0"/>
        <w:keepLines w:val="0"/>
        <w:pageBreakBefore w:val="0"/>
        <w:kinsoku/>
        <w:wordWrap/>
        <w:overflowPunct/>
        <w:topLinePunct w:val="0"/>
        <w:autoSpaceDE/>
        <w:autoSpaceDN/>
        <w:bidi w:val="0"/>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（三）社会保险基金预算执行情况</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lang w:val="en-US" w:eastAsia="zh-CN"/>
        </w:rPr>
        <w:t>2021年企业职工养老保险基金划归省级统筹、城乡居民医疗保险基金划归市级统筹后，当年</w:t>
      </w:r>
      <w:r>
        <w:rPr>
          <w:rFonts w:hint="eastAsia" w:ascii="仿宋_GB2312" w:hAnsi="仿宋" w:eastAsia="仿宋_GB2312" w:cs="仿宋"/>
          <w:color w:val="auto"/>
          <w:sz w:val="32"/>
          <w:szCs w:val="32"/>
          <w:highlight w:val="none"/>
        </w:rPr>
        <w:t>社会保险基金总收入</w:t>
      </w:r>
      <w:r>
        <w:rPr>
          <w:rFonts w:hint="eastAsia" w:ascii="仿宋_GB2312" w:hAnsi="仿宋" w:eastAsia="仿宋_GB2312" w:cs="仿宋"/>
          <w:color w:val="auto"/>
          <w:sz w:val="32"/>
          <w:szCs w:val="32"/>
          <w:highlight w:val="none"/>
          <w:lang w:val="en-US" w:eastAsia="zh-CN"/>
        </w:rPr>
        <w:t>102633</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97.1</w:t>
      </w:r>
      <w:r>
        <w:rPr>
          <w:rFonts w:hint="eastAsia" w:ascii="仿宋_GB2312" w:hAnsi="仿宋" w:eastAsia="仿宋_GB2312" w:cs="仿宋"/>
          <w:color w:val="auto"/>
          <w:sz w:val="32"/>
          <w:szCs w:val="32"/>
          <w:highlight w:val="none"/>
        </w:rPr>
        <w:t>%。其中：</w:t>
      </w:r>
      <w:r>
        <w:rPr>
          <w:rFonts w:hint="eastAsia" w:ascii="仿宋_GB2312" w:hAnsi="仿宋" w:eastAsia="仿宋_GB2312" w:cs="仿宋"/>
          <w:color w:val="auto"/>
          <w:kern w:val="0"/>
          <w:sz w:val="32"/>
          <w:szCs w:val="32"/>
          <w:highlight w:val="none"/>
        </w:rPr>
        <w:t>上年结余</w:t>
      </w:r>
      <w:r>
        <w:rPr>
          <w:rFonts w:hint="eastAsia" w:ascii="仿宋_GB2312" w:hAnsi="仿宋" w:eastAsia="仿宋_GB2312" w:cs="仿宋"/>
          <w:color w:val="auto"/>
          <w:kern w:val="0"/>
          <w:sz w:val="32"/>
          <w:szCs w:val="32"/>
          <w:highlight w:val="none"/>
          <w:lang w:val="en-US" w:eastAsia="zh-CN"/>
        </w:rPr>
        <w:t>43140</w:t>
      </w:r>
      <w:r>
        <w:rPr>
          <w:rFonts w:hint="eastAsia" w:ascii="仿宋_GB2312" w:hAnsi="仿宋" w:eastAsia="仿宋_GB2312" w:cs="仿宋"/>
          <w:color w:val="auto"/>
          <w:kern w:val="0"/>
          <w:sz w:val="32"/>
          <w:szCs w:val="32"/>
          <w:highlight w:val="none"/>
          <w:lang w:eastAsia="zh-CN"/>
        </w:rPr>
        <w:t>万元；</w:t>
      </w:r>
      <w:r>
        <w:rPr>
          <w:rFonts w:hint="eastAsia" w:ascii="仿宋_GB2312" w:hAnsi="仿宋" w:eastAsia="仿宋_GB2312" w:cs="仿宋"/>
          <w:color w:val="auto"/>
          <w:sz w:val="32"/>
          <w:szCs w:val="32"/>
          <w:highlight w:val="none"/>
        </w:rPr>
        <w:t>当年收入</w:t>
      </w:r>
      <w:r>
        <w:rPr>
          <w:rFonts w:hint="eastAsia" w:ascii="仿宋_GB2312" w:hAnsi="仿宋" w:eastAsia="仿宋_GB2312" w:cs="仿宋"/>
          <w:color w:val="auto"/>
          <w:sz w:val="32"/>
          <w:szCs w:val="32"/>
          <w:highlight w:val="none"/>
          <w:lang w:val="en-US" w:eastAsia="zh-CN"/>
        </w:rPr>
        <w:t>59493</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95</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kern w:val="0"/>
          <w:sz w:val="32"/>
          <w:szCs w:val="32"/>
          <w:highlight w:val="none"/>
        </w:rPr>
        <w:t>主要</w:t>
      </w:r>
      <w:r>
        <w:rPr>
          <w:rFonts w:hint="eastAsia" w:ascii="仿宋_GB2312" w:hAnsi="仿宋" w:eastAsia="仿宋_GB2312" w:cs="仿宋"/>
          <w:color w:val="auto"/>
          <w:kern w:val="0"/>
          <w:sz w:val="32"/>
          <w:szCs w:val="32"/>
          <w:highlight w:val="none"/>
          <w:lang w:eastAsia="zh-CN"/>
        </w:rPr>
        <w:t>收入项目</w:t>
      </w:r>
      <w:r>
        <w:rPr>
          <w:rFonts w:hint="eastAsia" w:ascii="仿宋_GB2312" w:hAnsi="仿宋" w:eastAsia="仿宋_GB2312" w:cs="仿宋"/>
          <w:color w:val="auto"/>
          <w:kern w:val="0"/>
          <w:sz w:val="32"/>
          <w:szCs w:val="32"/>
          <w:highlight w:val="none"/>
        </w:rPr>
        <w:t>：</w:t>
      </w:r>
      <w:r>
        <w:rPr>
          <w:rFonts w:hint="eastAsia" w:ascii="仿宋_GB2312" w:hAnsi="仿宋" w:eastAsia="仿宋_GB2312" w:cs="仿宋"/>
          <w:color w:val="auto"/>
          <w:sz w:val="32"/>
          <w:szCs w:val="32"/>
          <w:highlight w:val="none"/>
        </w:rPr>
        <w:t>城乡居民养老保险基金收入</w:t>
      </w:r>
      <w:r>
        <w:rPr>
          <w:rFonts w:hint="eastAsia" w:ascii="仿宋_GB2312" w:hAnsi="仿宋" w:eastAsia="仿宋_GB2312" w:cs="仿宋"/>
          <w:color w:val="auto"/>
          <w:sz w:val="32"/>
          <w:szCs w:val="32"/>
          <w:highlight w:val="none"/>
          <w:lang w:val="en-US" w:eastAsia="zh-CN"/>
        </w:rPr>
        <w:t>14615</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84.7</w:t>
      </w:r>
      <w:r>
        <w:rPr>
          <w:rFonts w:hint="eastAsia" w:ascii="仿宋_GB2312" w:hAnsi="仿宋" w:eastAsia="仿宋_GB2312" w:cs="仿宋"/>
          <w:color w:val="auto"/>
          <w:sz w:val="32"/>
          <w:szCs w:val="32"/>
          <w:highlight w:val="none"/>
        </w:rPr>
        <w:t>%；城镇职工医疗保险基金收入</w:t>
      </w:r>
      <w:r>
        <w:rPr>
          <w:rFonts w:hint="eastAsia" w:ascii="仿宋_GB2312" w:hAnsi="仿宋" w:eastAsia="仿宋_GB2312" w:cs="仿宋"/>
          <w:color w:val="auto"/>
          <w:sz w:val="32"/>
          <w:szCs w:val="32"/>
          <w:highlight w:val="none"/>
          <w:lang w:val="en-US" w:eastAsia="zh-CN"/>
        </w:rPr>
        <w:t>13866</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107.1</w:t>
      </w:r>
      <w:r>
        <w:rPr>
          <w:rFonts w:hint="eastAsia" w:ascii="仿宋_GB2312" w:hAnsi="仿宋" w:eastAsia="仿宋_GB2312" w:cs="仿宋"/>
          <w:color w:val="auto"/>
          <w:sz w:val="32"/>
          <w:szCs w:val="32"/>
          <w:highlight w:val="none"/>
        </w:rPr>
        <w:t>%；工伤保险基金收入</w:t>
      </w:r>
      <w:r>
        <w:rPr>
          <w:rFonts w:hint="eastAsia" w:ascii="仿宋_GB2312" w:hAnsi="仿宋" w:eastAsia="仿宋_GB2312" w:cs="仿宋"/>
          <w:color w:val="auto"/>
          <w:sz w:val="32"/>
          <w:szCs w:val="32"/>
          <w:highlight w:val="none"/>
          <w:lang w:val="en-US" w:eastAsia="zh-CN"/>
        </w:rPr>
        <w:t>2102</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230.9</w:t>
      </w:r>
      <w:r>
        <w:rPr>
          <w:rFonts w:hint="eastAsia" w:ascii="仿宋_GB2312" w:hAnsi="仿宋" w:eastAsia="仿宋_GB2312" w:cs="仿宋"/>
          <w:color w:val="auto"/>
          <w:sz w:val="32"/>
          <w:szCs w:val="32"/>
          <w:highlight w:val="none"/>
        </w:rPr>
        <w:t>%；失业保险基金收入</w:t>
      </w:r>
      <w:r>
        <w:rPr>
          <w:rFonts w:hint="eastAsia" w:ascii="仿宋_GB2312" w:hAnsi="仿宋" w:eastAsia="仿宋_GB2312" w:cs="仿宋"/>
          <w:color w:val="auto"/>
          <w:sz w:val="32"/>
          <w:szCs w:val="32"/>
          <w:highlight w:val="none"/>
          <w:lang w:val="en-US" w:eastAsia="zh-CN"/>
        </w:rPr>
        <w:t>1614</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100.6</w:t>
      </w:r>
      <w:r>
        <w:rPr>
          <w:rFonts w:hint="eastAsia" w:ascii="仿宋_GB2312" w:hAnsi="仿宋" w:eastAsia="仿宋_GB2312" w:cs="仿宋"/>
          <w:color w:val="auto"/>
          <w:sz w:val="32"/>
          <w:szCs w:val="32"/>
          <w:highlight w:val="none"/>
        </w:rPr>
        <w:t>%；机关事业单位养老保险基金收入</w:t>
      </w:r>
      <w:r>
        <w:rPr>
          <w:rFonts w:hint="eastAsia" w:ascii="仿宋_GB2312" w:hAnsi="仿宋" w:eastAsia="仿宋_GB2312" w:cs="仿宋"/>
          <w:color w:val="auto"/>
          <w:sz w:val="32"/>
          <w:szCs w:val="32"/>
          <w:highlight w:val="none"/>
          <w:lang w:val="en-US" w:eastAsia="zh-CN"/>
        </w:rPr>
        <w:t>27296</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91.3</w:t>
      </w:r>
      <w:r>
        <w:rPr>
          <w:rFonts w:hint="eastAsia" w:ascii="仿宋_GB2312" w:hAnsi="仿宋" w:eastAsia="仿宋_GB2312" w:cs="仿宋"/>
          <w:color w:val="auto"/>
          <w:sz w:val="32"/>
          <w:szCs w:val="32"/>
          <w:highlight w:val="none"/>
        </w:rPr>
        <w:t>%。</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lang w:eastAsia="zh-CN"/>
        </w:rPr>
        <w:t>当年</w:t>
      </w:r>
      <w:r>
        <w:rPr>
          <w:rFonts w:hint="eastAsia" w:ascii="仿宋_GB2312" w:hAnsi="仿宋" w:eastAsia="仿宋_GB2312" w:cs="仿宋"/>
          <w:color w:val="auto"/>
          <w:sz w:val="32"/>
          <w:szCs w:val="32"/>
          <w:highlight w:val="none"/>
        </w:rPr>
        <w:t>社会保险基金支出</w:t>
      </w:r>
      <w:r>
        <w:rPr>
          <w:rFonts w:hint="eastAsia" w:ascii="仿宋_GB2312" w:hAnsi="仿宋" w:eastAsia="仿宋_GB2312" w:cs="仿宋"/>
          <w:color w:val="auto"/>
          <w:sz w:val="32"/>
          <w:szCs w:val="32"/>
          <w:highlight w:val="none"/>
          <w:lang w:val="en-US" w:eastAsia="zh-CN"/>
        </w:rPr>
        <w:t>56371</w:t>
      </w:r>
      <w:r>
        <w:rPr>
          <w:rFonts w:hint="eastAsia" w:ascii="仿宋_GB2312" w:hAnsi="仿宋" w:eastAsia="仿宋_GB2312" w:cs="仿宋"/>
          <w:color w:val="auto"/>
          <w:kern w:val="0"/>
          <w:sz w:val="32"/>
          <w:szCs w:val="32"/>
          <w:highlight w:val="none"/>
          <w:lang w:eastAsia="zh-CN"/>
        </w:rPr>
        <w:t>万元</w:t>
      </w:r>
      <w:r>
        <w:rPr>
          <w:rFonts w:hint="eastAsia" w:ascii="仿宋_GB2312" w:hAnsi="仿宋" w:eastAsia="仿宋_GB2312" w:cs="仿宋"/>
          <w:color w:val="auto"/>
          <w:kern w:val="0"/>
          <w:sz w:val="32"/>
          <w:szCs w:val="32"/>
          <w:highlight w:val="none"/>
        </w:rPr>
        <w:t>，</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105.3</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kern w:val="0"/>
          <w:sz w:val="32"/>
          <w:szCs w:val="32"/>
          <w:highlight w:val="none"/>
        </w:rPr>
        <w:t>；</w:t>
      </w:r>
      <w:r>
        <w:rPr>
          <w:rFonts w:hint="eastAsia" w:ascii="仿宋_GB2312" w:hAnsi="仿宋" w:eastAsia="仿宋_GB2312" w:cs="仿宋"/>
          <w:color w:val="auto"/>
          <w:kern w:val="0"/>
          <w:sz w:val="32"/>
          <w:szCs w:val="32"/>
          <w:highlight w:val="none"/>
          <w:lang w:eastAsia="zh-CN"/>
        </w:rPr>
        <w:t>主要支出项目</w:t>
      </w:r>
      <w:r>
        <w:rPr>
          <w:rFonts w:hint="eastAsia" w:ascii="仿宋_GB2312" w:hAnsi="仿宋" w:eastAsia="仿宋_GB2312" w:cs="仿宋"/>
          <w:color w:val="auto"/>
          <w:kern w:val="0"/>
          <w:sz w:val="32"/>
          <w:szCs w:val="32"/>
          <w:highlight w:val="none"/>
        </w:rPr>
        <w:t>：</w:t>
      </w:r>
      <w:r>
        <w:rPr>
          <w:rFonts w:hint="eastAsia" w:ascii="仿宋_GB2312" w:hAnsi="仿宋" w:eastAsia="仿宋_GB2312" w:cs="仿宋"/>
          <w:color w:val="auto"/>
          <w:sz w:val="32"/>
          <w:szCs w:val="32"/>
          <w:highlight w:val="none"/>
        </w:rPr>
        <w:t>城乡居民养老保险基金</w:t>
      </w:r>
      <w:r>
        <w:rPr>
          <w:rFonts w:hint="eastAsia" w:ascii="仿宋_GB2312" w:hAnsi="仿宋" w:eastAsia="仿宋_GB2312" w:cs="仿宋"/>
          <w:color w:val="auto"/>
          <w:sz w:val="32"/>
          <w:szCs w:val="32"/>
          <w:highlight w:val="none"/>
          <w:lang w:eastAsia="zh-CN"/>
        </w:rPr>
        <w:t>支出</w:t>
      </w:r>
      <w:r>
        <w:rPr>
          <w:rFonts w:hint="eastAsia" w:ascii="仿宋_GB2312" w:hAnsi="仿宋" w:eastAsia="仿宋_GB2312" w:cs="仿宋"/>
          <w:color w:val="auto"/>
          <w:sz w:val="32"/>
          <w:szCs w:val="32"/>
          <w:highlight w:val="none"/>
          <w:lang w:val="en-US" w:eastAsia="zh-CN"/>
        </w:rPr>
        <w:t>10464</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105.4</w:t>
      </w:r>
      <w:r>
        <w:rPr>
          <w:rFonts w:hint="eastAsia" w:ascii="仿宋_GB2312" w:hAnsi="仿宋" w:eastAsia="仿宋_GB2312" w:cs="仿宋"/>
          <w:color w:val="auto"/>
          <w:sz w:val="32"/>
          <w:szCs w:val="32"/>
          <w:highlight w:val="none"/>
        </w:rPr>
        <w:t>%；城镇职工医疗保险基金</w:t>
      </w:r>
      <w:r>
        <w:rPr>
          <w:rFonts w:hint="eastAsia" w:ascii="仿宋_GB2312" w:hAnsi="仿宋" w:eastAsia="仿宋_GB2312" w:cs="仿宋"/>
          <w:color w:val="auto"/>
          <w:sz w:val="32"/>
          <w:szCs w:val="32"/>
          <w:highlight w:val="none"/>
          <w:lang w:eastAsia="zh-CN"/>
        </w:rPr>
        <w:t>支出</w:t>
      </w:r>
      <w:r>
        <w:rPr>
          <w:rFonts w:hint="eastAsia" w:ascii="仿宋_GB2312" w:hAnsi="仿宋" w:eastAsia="仿宋_GB2312" w:cs="仿宋"/>
          <w:color w:val="auto"/>
          <w:sz w:val="32"/>
          <w:szCs w:val="32"/>
          <w:highlight w:val="none"/>
          <w:lang w:val="en-US" w:eastAsia="zh-CN"/>
        </w:rPr>
        <w:t>10892</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97.2</w:t>
      </w:r>
      <w:r>
        <w:rPr>
          <w:rFonts w:hint="eastAsia" w:ascii="仿宋_GB2312" w:hAnsi="仿宋" w:eastAsia="仿宋_GB2312" w:cs="仿宋"/>
          <w:color w:val="auto"/>
          <w:sz w:val="32"/>
          <w:szCs w:val="32"/>
          <w:highlight w:val="none"/>
        </w:rPr>
        <w:t>%；工伤保险基金</w:t>
      </w:r>
      <w:r>
        <w:rPr>
          <w:rFonts w:hint="eastAsia" w:ascii="仿宋_GB2312" w:hAnsi="仿宋" w:eastAsia="仿宋_GB2312" w:cs="仿宋"/>
          <w:color w:val="auto"/>
          <w:sz w:val="32"/>
          <w:szCs w:val="32"/>
          <w:highlight w:val="none"/>
          <w:lang w:eastAsia="zh-CN"/>
        </w:rPr>
        <w:t>支出</w:t>
      </w:r>
      <w:r>
        <w:rPr>
          <w:rFonts w:hint="eastAsia" w:ascii="仿宋_GB2312" w:hAnsi="仿宋" w:eastAsia="仿宋_GB2312" w:cs="仿宋"/>
          <w:color w:val="auto"/>
          <w:sz w:val="32"/>
          <w:szCs w:val="32"/>
          <w:highlight w:val="none"/>
          <w:lang w:val="en-US" w:eastAsia="zh-CN"/>
        </w:rPr>
        <w:t>2472</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244.5</w:t>
      </w:r>
      <w:r>
        <w:rPr>
          <w:rFonts w:hint="eastAsia" w:ascii="仿宋_GB2312" w:hAnsi="仿宋" w:eastAsia="仿宋_GB2312" w:cs="仿宋"/>
          <w:color w:val="auto"/>
          <w:sz w:val="32"/>
          <w:szCs w:val="32"/>
          <w:highlight w:val="none"/>
        </w:rPr>
        <w:t>%；失业保险基金</w:t>
      </w:r>
      <w:r>
        <w:rPr>
          <w:rFonts w:hint="eastAsia" w:ascii="仿宋_GB2312" w:hAnsi="仿宋" w:eastAsia="仿宋_GB2312" w:cs="仿宋"/>
          <w:color w:val="auto"/>
          <w:sz w:val="32"/>
          <w:szCs w:val="32"/>
          <w:highlight w:val="none"/>
          <w:lang w:eastAsia="zh-CN"/>
        </w:rPr>
        <w:t>支出</w:t>
      </w:r>
      <w:r>
        <w:rPr>
          <w:rFonts w:hint="eastAsia" w:ascii="仿宋_GB2312" w:hAnsi="仿宋" w:eastAsia="仿宋_GB2312" w:cs="仿宋"/>
          <w:color w:val="auto"/>
          <w:sz w:val="32"/>
          <w:szCs w:val="32"/>
          <w:highlight w:val="none"/>
          <w:lang w:val="en-US" w:eastAsia="zh-CN"/>
        </w:rPr>
        <w:t>1641</w:t>
      </w:r>
      <w:r>
        <w:rPr>
          <w:rFonts w:hint="eastAsia" w:ascii="仿宋_GB2312" w:hAnsi="仿宋" w:eastAsia="仿宋_GB2312" w:cs="仿宋"/>
          <w:color w:val="auto"/>
          <w:sz w:val="32"/>
          <w:szCs w:val="32"/>
          <w:highlight w:val="none"/>
        </w:rPr>
        <w:t>万元，完成调整预算数的</w:t>
      </w:r>
      <w:r>
        <w:rPr>
          <w:rFonts w:hint="eastAsia" w:ascii="仿宋_GB2312" w:hAnsi="仿宋" w:eastAsia="仿宋_GB2312" w:cs="仿宋"/>
          <w:color w:val="auto"/>
          <w:sz w:val="32"/>
          <w:szCs w:val="32"/>
          <w:highlight w:val="none"/>
          <w:lang w:val="en-US" w:eastAsia="zh-CN"/>
        </w:rPr>
        <w:t>110.6</w:t>
      </w:r>
      <w:r>
        <w:rPr>
          <w:rFonts w:hint="eastAsia" w:ascii="仿宋_GB2312" w:hAnsi="仿宋" w:eastAsia="仿宋_GB2312" w:cs="仿宋"/>
          <w:color w:val="auto"/>
          <w:sz w:val="32"/>
          <w:szCs w:val="32"/>
          <w:highlight w:val="none"/>
        </w:rPr>
        <w:t>%；机关事业单位养老保险基金</w:t>
      </w:r>
      <w:r>
        <w:rPr>
          <w:rFonts w:hint="eastAsia" w:ascii="仿宋_GB2312" w:hAnsi="仿宋" w:eastAsia="仿宋_GB2312" w:cs="仿宋"/>
          <w:color w:val="auto"/>
          <w:sz w:val="32"/>
          <w:szCs w:val="32"/>
          <w:highlight w:val="none"/>
          <w:lang w:eastAsia="zh-CN"/>
        </w:rPr>
        <w:t>支出</w:t>
      </w:r>
      <w:r>
        <w:rPr>
          <w:rFonts w:hint="eastAsia" w:ascii="仿宋_GB2312" w:hAnsi="仿宋" w:eastAsia="仿宋_GB2312" w:cs="仿宋"/>
          <w:color w:val="auto"/>
          <w:sz w:val="32"/>
          <w:szCs w:val="32"/>
          <w:highlight w:val="none"/>
          <w:lang w:val="en-US" w:eastAsia="zh-CN"/>
        </w:rPr>
        <w:t>30902</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完成调整预算数的</w:t>
      </w:r>
      <w:r>
        <w:rPr>
          <w:rFonts w:hint="eastAsia" w:ascii="仿宋_GB2312" w:hAnsi="仿宋" w:eastAsia="仿宋_GB2312" w:cs="仿宋"/>
          <w:color w:val="auto"/>
          <w:sz w:val="32"/>
          <w:szCs w:val="32"/>
          <w:highlight w:val="none"/>
          <w:lang w:val="en-US" w:eastAsia="zh-CN"/>
        </w:rPr>
        <w:t>103.4</w:t>
      </w:r>
      <w:r>
        <w:rPr>
          <w:rFonts w:hint="eastAsia" w:ascii="仿宋_GB2312" w:hAnsi="仿宋" w:eastAsia="仿宋_GB2312" w:cs="仿宋"/>
          <w:color w:val="auto"/>
          <w:sz w:val="32"/>
          <w:szCs w:val="32"/>
          <w:highlight w:val="none"/>
        </w:rPr>
        <w:t>%。</w:t>
      </w:r>
    </w:p>
    <w:p>
      <w:pPr>
        <w:keepNext w:val="0"/>
        <w:keepLines w:val="0"/>
        <w:pageBreakBefore w:val="0"/>
        <w:kinsoku/>
        <w:wordWrap/>
        <w:overflowPunct/>
        <w:topLinePunct w:val="0"/>
        <w:autoSpaceDE/>
        <w:autoSpaceDN/>
        <w:bidi w:val="0"/>
        <w:snapToGrid/>
        <w:spacing w:line="560" w:lineRule="exact"/>
        <w:ind w:firstLine="640" w:firstLineChars="200"/>
        <w:textAlignment w:val="auto"/>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收支相抵，滚存结余</w:t>
      </w:r>
      <w:r>
        <w:rPr>
          <w:rFonts w:hint="eastAsia" w:ascii="仿宋_GB2312" w:hAnsi="仿宋" w:eastAsia="仿宋_GB2312" w:cs="仿宋"/>
          <w:color w:val="auto"/>
          <w:kern w:val="0"/>
          <w:sz w:val="32"/>
          <w:szCs w:val="32"/>
          <w:highlight w:val="none"/>
          <w:lang w:val="en-US" w:eastAsia="zh-CN"/>
        </w:rPr>
        <w:t>46262</w:t>
      </w:r>
      <w:r>
        <w:rPr>
          <w:rFonts w:hint="eastAsia" w:ascii="仿宋_GB2312" w:hAnsi="仿宋" w:eastAsia="仿宋_GB2312" w:cs="仿宋"/>
          <w:color w:val="auto"/>
          <w:kern w:val="0"/>
          <w:sz w:val="32"/>
          <w:szCs w:val="32"/>
          <w:highlight w:val="none"/>
          <w:lang w:eastAsia="zh-CN"/>
        </w:rPr>
        <w:t>万元</w:t>
      </w:r>
      <w:r>
        <w:rPr>
          <w:rFonts w:hint="eastAsia" w:ascii="仿宋_GB2312" w:hAnsi="仿宋" w:eastAsia="仿宋_GB2312" w:cs="仿宋"/>
          <w:color w:val="auto"/>
          <w:kern w:val="0"/>
          <w:sz w:val="32"/>
          <w:szCs w:val="32"/>
          <w:highlight w:val="none"/>
        </w:rPr>
        <w:t>。</w:t>
      </w:r>
    </w:p>
    <w:p>
      <w:pPr>
        <w:keepNext w:val="0"/>
        <w:keepLines w:val="0"/>
        <w:pageBreakBefore w:val="0"/>
        <w:kinsoku/>
        <w:wordWrap/>
        <w:overflowPunct/>
        <w:topLinePunct w:val="0"/>
        <w:autoSpaceDE/>
        <w:autoSpaceDN/>
        <w:bidi w:val="0"/>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lang w:eastAsia="zh-CN"/>
        </w:rPr>
        <w:t>（四）</w:t>
      </w:r>
      <w:r>
        <w:rPr>
          <w:rFonts w:hint="eastAsia" w:ascii="楷体_GB2312" w:hAnsi="楷体_GB2312" w:eastAsia="楷体_GB2312" w:cs="楷体_GB2312"/>
          <w:color w:val="auto"/>
          <w:sz w:val="32"/>
          <w:szCs w:val="32"/>
          <w:highlight w:val="none"/>
        </w:rPr>
        <w:t>国有资本经营预算执行情况</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 w:eastAsia="仿宋_GB2312" w:cs="仿宋"/>
          <w:color w:val="auto"/>
          <w:kern w:val="0"/>
          <w:sz w:val="32"/>
          <w:szCs w:val="32"/>
          <w:highlight w:val="none"/>
          <w:lang w:val="en-US" w:eastAsia="zh-CN"/>
        </w:rPr>
      </w:pPr>
      <w:r>
        <w:rPr>
          <w:rFonts w:hint="eastAsia" w:ascii="仿宋_GB2312" w:hAnsi="仿宋" w:eastAsia="仿宋_GB2312" w:cs="仿宋"/>
          <w:color w:val="auto"/>
          <w:kern w:val="0"/>
          <w:sz w:val="32"/>
          <w:szCs w:val="32"/>
          <w:highlight w:val="none"/>
          <w:lang w:val="en-US" w:eastAsia="zh-CN"/>
        </w:rPr>
        <w:t>国有资本经营预算本级收入264万元，完成调整预算数的38.7%，其中：利润收入228万元，股利、股息收入36万元。上级补助收入18万元。上年结转收入4万元。预算执行数调整较大主要因收入口径发生变化。</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 w:eastAsia="仿宋_GB2312" w:cs="仿宋"/>
          <w:color w:val="auto"/>
          <w:kern w:val="0"/>
          <w:sz w:val="32"/>
          <w:szCs w:val="32"/>
          <w:highlight w:val="none"/>
          <w:lang w:val="en-US" w:eastAsia="zh-CN"/>
        </w:rPr>
      </w:pPr>
      <w:r>
        <w:rPr>
          <w:rFonts w:hint="eastAsia" w:ascii="仿宋_GB2312" w:hAnsi="仿宋" w:eastAsia="仿宋_GB2312" w:cs="仿宋"/>
          <w:color w:val="auto"/>
          <w:kern w:val="0"/>
          <w:sz w:val="32"/>
          <w:szCs w:val="32"/>
          <w:highlight w:val="none"/>
          <w:lang w:val="en-US" w:eastAsia="zh-CN"/>
        </w:rPr>
        <w:t>国有资本经营预算本级支出228万元，完成调整预算数的98.2%，其中：国有企业资本金注入228万元。调出资金36万元。</w:t>
      </w:r>
    </w:p>
    <w:p>
      <w:pPr>
        <w:keepNext w:val="0"/>
        <w:keepLines w:val="0"/>
        <w:pageBreakBefore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 w:eastAsia="仿宋_GB2312" w:cs="仿宋"/>
          <w:color w:val="auto"/>
          <w:kern w:val="0"/>
          <w:sz w:val="32"/>
          <w:szCs w:val="32"/>
          <w:highlight w:val="none"/>
          <w:lang w:val="en-US" w:eastAsia="zh-CN"/>
        </w:rPr>
      </w:pPr>
      <w:r>
        <w:rPr>
          <w:rFonts w:hint="eastAsia" w:ascii="仿宋_GB2312" w:hAnsi="仿宋" w:eastAsia="仿宋_GB2312" w:cs="仿宋"/>
          <w:color w:val="auto"/>
          <w:kern w:val="0"/>
          <w:sz w:val="32"/>
          <w:szCs w:val="32"/>
          <w:highlight w:val="none"/>
          <w:lang w:val="en-US" w:eastAsia="zh-CN"/>
        </w:rPr>
        <w:t>平衡情况。全县国有资本经营预算收入总量286万元，其中：县本级收入264万元，上级补助收入18万元，上年结转收入4万元。支出总量264万元，其中：县本级支出228万元，调出资金36万元。收支相抵，结转下年支出22万元。</w:t>
      </w:r>
    </w:p>
    <w:p>
      <w:pPr>
        <w:keepNext w:val="0"/>
        <w:keepLines w:val="0"/>
        <w:pageBreakBefore w:val="0"/>
        <w:kinsoku/>
        <w:wordWrap/>
        <w:overflowPunct/>
        <w:topLinePunct w:val="0"/>
        <w:autoSpaceDE/>
        <w:autoSpaceDN/>
        <w:bidi w:val="0"/>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（五）地方政府性债务情况</w:t>
      </w:r>
    </w:p>
    <w:p>
      <w:pPr>
        <w:keepNext w:val="0"/>
        <w:keepLines w:val="0"/>
        <w:pageBreakBefore w:val="0"/>
        <w:widowControl/>
        <w:kinsoku/>
        <w:wordWrap/>
        <w:overflowPunct/>
        <w:topLinePunct w:val="0"/>
        <w:autoSpaceDE/>
        <w:autoSpaceDN/>
        <w:bidi w:val="0"/>
        <w:snapToGrid/>
        <w:spacing w:line="560" w:lineRule="exact"/>
        <w:ind w:firstLine="640" w:firstLineChars="200"/>
        <w:textAlignment w:val="auto"/>
        <w:rPr>
          <w:rFonts w:hint="eastAsia"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全县政府债务余额为</w:t>
      </w:r>
      <w:r>
        <w:rPr>
          <w:rFonts w:hint="eastAsia" w:ascii="仿宋_GB2312" w:hAnsi="仿宋" w:eastAsia="仿宋_GB2312" w:cs="仿宋"/>
          <w:color w:val="auto"/>
          <w:sz w:val="32"/>
          <w:szCs w:val="32"/>
          <w:highlight w:val="none"/>
          <w:lang w:val="en-US" w:eastAsia="zh-CN"/>
        </w:rPr>
        <w:t>428442</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，其中一般债务</w:t>
      </w:r>
      <w:r>
        <w:rPr>
          <w:rFonts w:hint="eastAsia" w:ascii="仿宋_GB2312" w:hAnsi="仿宋" w:eastAsia="仿宋_GB2312" w:cs="仿宋"/>
          <w:color w:val="auto"/>
          <w:sz w:val="32"/>
          <w:szCs w:val="32"/>
          <w:highlight w:val="none"/>
          <w:lang w:val="en-US" w:eastAsia="zh-CN"/>
        </w:rPr>
        <w:t>200237</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，专项债务</w:t>
      </w:r>
      <w:r>
        <w:rPr>
          <w:rFonts w:hint="eastAsia" w:ascii="仿宋_GB2312" w:hAnsi="仿宋" w:eastAsia="仿宋_GB2312" w:cs="仿宋"/>
          <w:color w:val="auto"/>
          <w:sz w:val="32"/>
          <w:szCs w:val="32"/>
          <w:highlight w:val="none"/>
          <w:lang w:val="en-US" w:eastAsia="zh-CN"/>
        </w:rPr>
        <w:t>228205</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，202</w:t>
      </w:r>
      <w:r>
        <w:rPr>
          <w:rFonts w:hint="eastAsia" w:ascii="仿宋_GB2312" w:hAnsi="仿宋" w:eastAsia="仿宋_GB2312" w:cs="仿宋"/>
          <w:color w:val="auto"/>
          <w:sz w:val="32"/>
          <w:szCs w:val="32"/>
          <w:highlight w:val="none"/>
          <w:lang w:val="en-US" w:eastAsia="zh-CN"/>
        </w:rPr>
        <w:t>1</w:t>
      </w:r>
      <w:r>
        <w:rPr>
          <w:rFonts w:hint="eastAsia" w:ascii="仿宋_GB2312" w:hAnsi="仿宋" w:eastAsia="仿宋_GB2312" w:cs="仿宋"/>
          <w:color w:val="auto"/>
          <w:sz w:val="32"/>
          <w:szCs w:val="32"/>
          <w:highlight w:val="none"/>
        </w:rPr>
        <w:t>年当年新增政府债务</w:t>
      </w:r>
      <w:r>
        <w:rPr>
          <w:rFonts w:hint="eastAsia" w:ascii="仿宋_GB2312" w:hAnsi="仿宋" w:eastAsia="仿宋_GB2312" w:cs="仿宋"/>
          <w:color w:val="auto"/>
          <w:sz w:val="32"/>
          <w:szCs w:val="32"/>
          <w:highlight w:val="none"/>
          <w:lang w:val="en-US" w:eastAsia="zh-CN"/>
        </w:rPr>
        <w:t>49079</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（一般债券</w:t>
      </w:r>
      <w:r>
        <w:rPr>
          <w:rFonts w:hint="eastAsia" w:ascii="仿宋_GB2312" w:hAnsi="仿宋" w:eastAsia="仿宋_GB2312" w:cs="仿宋"/>
          <w:color w:val="auto"/>
          <w:sz w:val="32"/>
          <w:szCs w:val="32"/>
          <w:highlight w:val="none"/>
          <w:lang w:val="en-US" w:eastAsia="zh-CN"/>
        </w:rPr>
        <w:t>13279</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，专项债券</w:t>
      </w:r>
      <w:r>
        <w:rPr>
          <w:rFonts w:hint="eastAsia" w:ascii="仿宋_GB2312" w:hAnsi="仿宋" w:eastAsia="仿宋_GB2312" w:cs="仿宋"/>
          <w:color w:val="auto"/>
          <w:sz w:val="32"/>
          <w:szCs w:val="32"/>
          <w:highlight w:val="none"/>
          <w:lang w:val="en-US" w:eastAsia="zh-CN"/>
        </w:rPr>
        <w:t>35800</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）。根据预算法对债务实行限额管理的规定，省财政厅核定我县202</w:t>
      </w:r>
      <w:r>
        <w:rPr>
          <w:rFonts w:hint="eastAsia" w:ascii="仿宋_GB2312" w:hAnsi="仿宋" w:eastAsia="仿宋_GB2312" w:cs="仿宋"/>
          <w:color w:val="auto"/>
          <w:sz w:val="32"/>
          <w:szCs w:val="32"/>
          <w:highlight w:val="none"/>
          <w:lang w:val="en-US" w:eastAsia="zh-CN"/>
        </w:rPr>
        <w:t>1</w:t>
      </w:r>
      <w:r>
        <w:rPr>
          <w:rFonts w:hint="eastAsia" w:ascii="仿宋_GB2312" w:hAnsi="仿宋" w:eastAsia="仿宋_GB2312" w:cs="仿宋"/>
          <w:color w:val="auto"/>
          <w:sz w:val="32"/>
          <w:szCs w:val="32"/>
          <w:highlight w:val="none"/>
        </w:rPr>
        <w:t>年末债务限额为</w:t>
      </w:r>
      <w:r>
        <w:rPr>
          <w:rFonts w:hint="eastAsia" w:ascii="仿宋_GB2312" w:hAnsi="仿宋" w:eastAsia="仿宋_GB2312" w:cs="仿宋"/>
          <w:color w:val="auto"/>
          <w:sz w:val="32"/>
          <w:szCs w:val="32"/>
          <w:highlight w:val="none"/>
          <w:lang w:val="en-US" w:eastAsia="zh-CN"/>
        </w:rPr>
        <w:t>478495</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，债务余额没有超出债务限额，政府债务风险</w:t>
      </w:r>
      <w:r>
        <w:rPr>
          <w:rFonts w:hint="eastAsia" w:ascii="仿宋_GB2312" w:hAnsi="仿宋" w:eastAsia="仿宋_GB2312" w:cs="仿宋"/>
          <w:color w:val="auto"/>
          <w:sz w:val="32"/>
          <w:szCs w:val="32"/>
          <w:highlight w:val="none"/>
          <w:lang w:eastAsia="zh-CN"/>
        </w:rPr>
        <w:t>稳定</w:t>
      </w:r>
      <w:r>
        <w:rPr>
          <w:rFonts w:hint="eastAsia" w:ascii="仿宋_GB2312" w:hAnsi="仿宋" w:eastAsia="仿宋_GB2312" w:cs="仿宋"/>
          <w:color w:val="auto"/>
          <w:sz w:val="32"/>
          <w:szCs w:val="32"/>
          <w:highlight w:val="none"/>
        </w:rPr>
        <w:t>可控。</w:t>
      </w:r>
    </w:p>
    <w:p>
      <w:pPr>
        <w:keepNext w:val="0"/>
        <w:keepLines w:val="0"/>
        <w:pageBreakBefore w:val="0"/>
        <w:kinsoku/>
        <w:wordWrap/>
        <w:overflowPunct/>
        <w:topLinePunct w:val="0"/>
        <w:autoSpaceDE/>
        <w:autoSpaceDN/>
        <w:bidi w:val="0"/>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（六）202</w:t>
      </w:r>
      <w:r>
        <w:rPr>
          <w:rFonts w:hint="eastAsia" w:ascii="楷体_GB2312" w:hAnsi="楷体_GB2312" w:eastAsia="楷体_GB2312" w:cs="楷体_GB2312"/>
          <w:color w:val="auto"/>
          <w:sz w:val="32"/>
          <w:szCs w:val="32"/>
          <w:highlight w:val="none"/>
          <w:lang w:val="en-US" w:eastAsia="zh-CN"/>
        </w:rPr>
        <w:t>1</w:t>
      </w:r>
      <w:r>
        <w:rPr>
          <w:rFonts w:hint="eastAsia" w:ascii="楷体_GB2312" w:hAnsi="楷体_GB2312" w:eastAsia="楷体_GB2312" w:cs="楷体_GB2312"/>
          <w:color w:val="auto"/>
          <w:sz w:val="32"/>
          <w:szCs w:val="32"/>
          <w:highlight w:val="none"/>
        </w:rPr>
        <w:t>年财政主要工作情况</w:t>
      </w:r>
    </w:p>
    <w:p>
      <w:pPr>
        <w:keepNext w:val="0"/>
        <w:keepLines w:val="0"/>
        <w:pageBreakBefore w:val="0"/>
        <w:widowControl/>
        <w:kinsoku/>
        <w:wordWrap/>
        <w:overflowPunct/>
        <w:topLinePunct w:val="0"/>
        <w:autoSpaceDE/>
        <w:autoSpaceDN/>
        <w:bidi w:val="0"/>
        <w:spacing w:line="560" w:lineRule="exact"/>
        <w:ind w:firstLine="640" w:firstLineChars="200"/>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eastAsia="zh-CN"/>
        </w:rPr>
        <w:t>2021年是实现第一个百年奋斗目标的收官之年，是“十四五”规划开局之年，预算执行严格按照县十八届人代会第七次会议明确的任务目标，不断完善制度机制，强化政策落实和预算约束，全力以赴抓收入，强化调度促支出，优化结构保重点，加快改革提效能，较好地服务了全县经济社会发展大局。</w:t>
      </w:r>
    </w:p>
    <w:p>
      <w:pPr>
        <w:keepNext w:val="0"/>
        <w:keepLines w:val="0"/>
        <w:pageBreakBefore w:val="0"/>
        <w:widowControl/>
        <w:kinsoku/>
        <w:wordWrap/>
        <w:overflowPunct/>
        <w:topLinePunct w:val="0"/>
        <w:autoSpaceDE/>
        <w:autoSpaceDN/>
        <w:bidi w:val="0"/>
        <w:spacing w:line="560" w:lineRule="exact"/>
        <w:ind w:firstLine="643" w:firstLineChars="200"/>
        <w:rPr>
          <w:rFonts w:hint="eastAsia" w:ascii="仿宋_GB2312" w:hAnsi="仿宋" w:eastAsia="仿宋_GB2312" w:cs="仿宋"/>
          <w:b/>
          <w:bCs/>
          <w:color w:val="auto"/>
          <w:sz w:val="32"/>
          <w:szCs w:val="32"/>
          <w:highlight w:val="none"/>
          <w:lang w:eastAsia="zh-CN"/>
        </w:rPr>
      </w:pPr>
      <w:r>
        <w:rPr>
          <w:rFonts w:hint="eastAsia" w:ascii="仿宋_GB2312" w:hAnsi="仿宋" w:eastAsia="仿宋_GB2312" w:cs="仿宋"/>
          <w:b/>
          <w:bCs/>
          <w:color w:val="auto"/>
          <w:sz w:val="32"/>
          <w:szCs w:val="32"/>
          <w:highlight w:val="none"/>
          <w:lang w:eastAsia="zh-CN"/>
        </w:rPr>
        <w:t>1.聚焦组织收入，多管齐下增强保障能力。</w:t>
      </w:r>
    </w:p>
    <w:p>
      <w:pPr>
        <w:keepNext w:val="0"/>
        <w:keepLines w:val="0"/>
        <w:pageBreakBefore w:val="0"/>
        <w:widowControl/>
        <w:kinsoku/>
        <w:wordWrap/>
        <w:overflowPunct/>
        <w:topLinePunct w:val="0"/>
        <w:autoSpaceDE/>
        <w:autoSpaceDN/>
        <w:bidi w:val="0"/>
        <w:spacing w:line="560" w:lineRule="exact"/>
        <w:ind w:firstLine="643" w:firstLineChars="200"/>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b/>
          <w:bCs/>
          <w:color w:val="auto"/>
          <w:sz w:val="32"/>
          <w:szCs w:val="32"/>
          <w:highlight w:val="none"/>
          <w:lang w:eastAsia="zh-CN"/>
        </w:rPr>
        <w:t>一是</w:t>
      </w:r>
      <w:r>
        <w:rPr>
          <w:rFonts w:hint="eastAsia" w:ascii="仿宋_GB2312" w:hAnsi="仿宋" w:eastAsia="仿宋_GB2312" w:cs="仿宋"/>
          <w:color w:val="auto"/>
          <w:sz w:val="32"/>
          <w:szCs w:val="32"/>
          <w:highlight w:val="none"/>
          <w:lang w:eastAsia="zh-CN"/>
        </w:rPr>
        <w:t>强化收入征管。积极应对经济下行压力，严格落实减税降费政策，坚持依法依规组织收入。</w:t>
      </w:r>
      <w:r>
        <w:rPr>
          <w:rFonts w:hint="eastAsia" w:ascii="仿宋_GB2312" w:hAnsi="仿宋" w:eastAsia="仿宋_GB2312" w:cs="仿宋"/>
          <w:color w:val="auto"/>
          <w:sz w:val="32"/>
          <w:szCs w:val="32"/>
          <w:highlight w:val="none"/>
          <w:lang w:val="en-US" w:eastAsia="zh-CN"/>
        </w:rPr>
        <w:t>2021年</w:t>
      </w:r>
      <w:r>
        <w:rPr>
          <w:rFonts w:hint="eastAsia" w:ascii="仿宋_GB2312" w:hAnsi="仿宋" w:eastAsia="仿宋_GB2312" w:cs="仿宋"/>
          <w:color w:val="auto"/>
          <w:sz w:val="32"/>
          <w:szCs w:val="32"/>
          <w:highlight w:val="none"/>
          <w:lang w:eastAsia="zh-CN"/>
        </w:rPr>
        <w:t>完成一般公共预算收入</w:t>
      </w:r>
      <w:r>
        <w:rPr>
          <w:rFonts w:hint="eastAsia" w:ascii="仿宋_GB2312" w:hAnsi="仿宋" w:eastAsia="仿宋_GB2312" w:cs="仿宋"/>
          <w:color w:val="auto"/>
          <w:sz w:val="32"/>
          <w:szCs w:val="32"/>
          <w:highlight w:val="none"/>
          <w:lang w:val="en-US" w:eastAsia="zh-CN"/>
        </w:rPr>
        <w:t>59028万元，超预期4028万元。</w:t>
      </w:r>
      <w:r>
        <w:rPr>
          <w:rFonts w:hint="eastAsia" w:ascii="仿宋_GB2312" w:hAnsi="仿宋" w:eastAsia="仿宋_GB2312" w:cs="仿宋"/>
          <w:b/>
          <w:bCs/>
          <w:color w:val="auto"/>
          <w:sz w:val="32"/>
          <w:szCs w:val="32"/>
          <w:highlight w:val="none"/>
          <w:lang w:eastAsia="zh-CN"/>
        </w:rPr>
        <w:t>二是</w:t>
      </w:r>
      <w:r>
        <w:rPr>
          <w:rFonts w:hint="eastAsia" w:ascii="仿宋_GB2312" w:hAnsi="仿宋" w:eastAsia="仿宋_GB2312" w:cs="仿宋"/>
          <w:color w:val="auto"/>
          <w:sz w:val="32"/>
          <w:szCs w:val="32"/>
          <w:highlight w:val="none"/>
          <w:lang w:eastAsia="zh-CN"/>
        </w:rPr>
        <w:t>积极向上争取资金。紧抓政策机遇，主动对接、加大力度争取中央、省资金支持。全年向上争取资金</w:t>
      </w:r>
      <w:r>
        <w:rPr>
          <w:rFonts w:hint="eastAsia" w:ascii="仿宋_GB2312" w:hAnsi="仿宋" w:eastAsia="仿宋_GB2312" w:cs="仿宋"/>
          <w:color w:val="auto"/>
          <w:sz w:val="32"/>
          <w:szCs w:val="32"/>
          <w:highlight w:val="none"/>
          <w:lang w:val="en-US" w:eastAsia="zh-CN"/>
        </w:rPr>
        <w:t>374601</w:t>
      </w:r>
      <w:r>
        <w:rPr>
          <w:rFonts w:hint="eastAsia" w:ascii="仿宋_GB2312" w:hAnsi="仿宋" w:eastAsia="仿宋_GB2312" w:cs="仿宋"/>
          <w:color w:val="auto"/>
          <w:sz w:val="32"/>
          <w:szCs w:val="32"/>
          <w:highlight w:val="none"/>
          <w:lang w:eastAsia="zh-CN"/>
        </w:rPr>
        <w:t>万元，为全县经济和社会事业发展提供有力保障，有效缓解财力缺口和政府偿债压力。</w:t>
      </w:r>
      <w:r>
        <w:rPr>
          <w:rFonts w:hint="eastAsia" w:ascii="仿宋_GB2312" w:hAnsi="仿宋" w:eastAsia="仿宋_GB2312" w:cs="仿宋"/>
          <w:b/>
          <w:bCs/>
          <w:color w:val="auto"/>
          <w:sz w:val="32"/>
          <w:szCs w:val="32"/>
          <w:highlight w:val="none"/>
          <w:lang w:eastAsia="zh-CN"/>
        </w:rPr>
        <w:t>三是</w:t>
      </w:r>
      <w:r>
        <w:rPr>
          <w:rFonts w:hint="eastAsia" w:ascii="仿宋_GB2312" w:hAnsi="仿宋" w:eastAsia="仿宋_GB2312" w:cs="仿宋"/>
          <w:color w:val="auto"/>
          <w:sz w:val="32"/>
          <w:szCs w:val="32"/>
          <w:highlight w:val="none"/>
          <w:lang w:eastAsia="zh-CN"/>
        </w:rPr>
        <w:t>盘活财政存量资金。加强财政资金动态监控，建立“定期清理、限期使用、超期收回”长效机制，全年共盘活财政存量资金</w:t>
      </w:r>
      <w:r>
        <w:rPr>
          <w:rFonts w:hint="eastAsia" w:ascii="仿宋_GB2312" w:hAnsi="仿宋" w:eastAsia="仿宋_GB2312" w:cs="仿宋"/>
          <w:color w:val="auto"/>
          <w:sz w:val="32"/>
          <w:szCs w:val="32"/>
          <w:highlight w:val="none"/>
          <w:lang w:val="en-US" w:eastAsia="zh-CN"/>
        </w:rPr>
        <w:t>9458.5</w:t>
      </w:r>
      <w:r>
        <w:rPr>
          <w:rFonts w:hint="eastAsia" w:ascii="仿宋_GB2312" w:hAnsi="仿宋" w:eastAsia="仿宋_GB2312" w:cs="仿宋"/>
          <w:color w:val="auto"/>
          <w:sz w:val="32"/>
          <w:szCs w:val="32"/>
          <w:highlight w:val="none"/>
          <w:lang w:eastAsia="zh-CN"/>
        </w:rPr>
        <w:t>万元,清理回收的资金主要用于为民办实事、城市基础设施建设和重点项目建设，进一步弥补公共预算财力缺口，不断增强财政保障能力。</w:t>
      </w:r>
    </w:p>
    <w:p>
      <w:pPr>
        <w:keepNext w:val="0"/>
        <w:keepLines w:val="0"/>
        <w:pageBreakBefore w:val="0"/>
        <w:widowControl/>
        <w:kinsoku/>
        <w:wordWrap/>
        <w:overflowPunct/>
        <w:topLinePunct w:val="0"/>
        <w:autoSpaceDE/>
        <w:autoSpaceDN/>
        <w:bidi w:val="0"/>
        <w:spacing w:line="560" w:lineRule="exact"/>
        <w:ind w:firstLine="643" w:firstLineChars="200"/>
        <w:rPr>
          <w:rFonts w:hint="eastAsia" w:ascii="仿宋_GB2312" w:hAnsi="仿宋" w:eastAsia="仿宋_GB2312" w:cs="仿宋"/>
          <w:b/>
          <w:bCs/>
          <w:color w:val="auto"/>
          <w:sz w:val="32"/>
          <w:szCs w:val="32"/>
          <w:highlight w:val="none"/>
          <w:lang w:eastAsia="zh-CN"/>
        </w:rPr>
      </w:pPr>
      <w:r>
        <w:rPr>
          <w:rFonts w:hint="eastAsia" w:ascii="仿宋_GB2312" w:hAnsi="仿宋" w:eastAsia="仿宋_GB2312" w:cs="仿宋"/>
          <w:b/>
          <w:bCs/>
          <w:color w:val="auto"/>
          <w:sz w:val="32"/>
          <w:szCs w:val="32"/>
          <w:highlight w:val="none"/>
          <w:lang w:eastAsia="zh-CN"/>
        </w:rPr>
        <w:t>2.聚焦服务供给，点面共进深化民生福祉。</w:t>
      </w:r>
    </w:p>
    <w:p>
      <w:pPr>
        <w:keepNext w:val="0"/>
        <w:keepLines w:val="0"/>
        <w:pageBreakBefore w:val="0"/>
        <w:widowControl/>
        <w:kinsoku/>
        <w:wordWrap/>
        <w:overflowPunct/>
        <w:topLinePunct w:val="0"/>
        <w:autoSpaceDE/>
        <w:autoSpaceDN/>
        <w:bidi w:val="0"/>
        <w:spacing w:line="560" w:lineRule="exact"/>
        <w:ind w:firstLine="640" w:firstLineChars="200"/>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eastAsia="zh-CN"/>
        </w:rPr>
        <w:t>不折不扣落实过“紧日子”要求，兜牢“三保”底线，增进民生福祉。压缩一般性支出，</w:t>
      </w:r>
      <w:r>
        <w:rPr>
          <w:rFonts w:hint="eastAsia" w:ascii="仿宋_GB2312" w:hAnsi="仿宋" w:eastAsia="仿宋_GB2312" w:cs="仿宋"/>
          <w:color w:val="auto"/>
          <w:sz w:val="32"/>
          <w:szCs w:val="32"/>
          <w:highlight w:val="none"/>
          <w:lang w:val="en-US" w:eastAsia="zh-CN"/>
        </w:rPr>
        <w:t>2021年</w:t>
      </w:r>
      <w:r>
        <w:rPr>
          <w:rFonts w:hint="eastAsia" w:ascii="仿宋_GB2312" w:hAnsi="仿宋" w:eastAsia="仿宋_GB2312" w:cs="仿宋"/>
          <w:color w:val="auto"/>
          <w:sz w:val="32"/>
          <w:szCs w:val="32"/>
          <w:highlight w:val="none"/>
          <w:lang w:eastAsia="zh-CN"/>
        </w:rPr>
        <w:t>一般性支出较同期下降</w:t>
      </w:r>
      <w:r>
        <w:rPr>
          <w:rFonts w:hint="eastAsia" w:ascii="仿宋_GB2312" w:hAnsi="仿宋" w:eastAsia="仿宋_GB2312" w:cs="仿宋"/>
          <w:color w:val="auto"/>
          <w:sz w:val="32"/>
          <w:szCs w:val="32"/>
          <w:highlight w:val="none"/>
          <w:lang w:val="en-US" w:eastAsia="zh-CN"/>
        </w:rPr>
        <w:t>10</w:t>
      </w:r>
      <w:r>
        <w:rPr>
          <w:rFonts w:hint="eastAsia" w:ascii="仿宋_GB2312" w:hAnsi="仿宋" w:eastAsia="仿宋_GB2312" w:cs="仿宋"/>
          <w:color w:val="auto"/>
          <w:sz w:val="32"/>
          <w:szCs w:val="32"/>
          <w:highlight w:val="none"/>
          <w:lang w:eastAsia="zh-CN"/>
        </w:rPr>
        <w:t>%以上。在财力十分有限的情况下，有保有压集中财力加大对疫情防控及“六稳”、“六保”等相关重点领域的支出保障，全年与民生密切相关的支出达</w:t>
      </w:r>
      <w:r>
        <w:rPr>
          <w:rFonts w:hint="eastAsia" w:ascii="仿宋_GB2312" w:hAnsi="仿宋" w:eastAsia="仿宋_GB2312" w:cs="仿宋"/>
          <w:color w:val="auto"/>
          <w:sz w:val="32"/>
          <w:szCs w:val="32"/>
          <w:highlight w:val="none"/>
          <w:lang w:val="en-US" w:eastAsia="zh-CN"/>
        </w:rPr>
        <w:t>244821</w:t>
      </w:r>
      <w:r>
        <w:rPr>
          <w:rFonts w:hint="eastAsia" w:ascii="仿宋_GB2312" w:hAnsi="仿宋" w:eastAsia="仿宋_GB2312" w:cs="仿宋"/>
          <w:color w:val="auto"/>
          <w:sz w:val="32"/>
          <w:szCs w:val="32"/>
          <w:highlight w:val="none"/>
          <w:lang w:eastAsia="zh-CN"/>
        </w:rPr>
        <w:t>万元，占一般公共预算支出的</w:t>
      </w:r>
      <w:r>
        <w:rPr>
          <w:rFonts w:hint="eastAsia" w:ascii="仿宋_GB2312" w:hAnsi="仿宋" w:eastAsia="仿宋_GB2312" w:cs="仿宋"/>
          <w:color w:val="auto"/>
          <w:sz w:val="32"/>
          <w:szCs w:val="32"/>
          <w:highlight w:val="none"/>
          <w:lang w:val="en-US" w:eastAsia="zh-CN"/>
        </w:rPr>
        <w:t>78.2</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b/>
          <w:bCs/>
          <w:color w:val="auto"/>
          <w:sz w:val="32"/>
          <w:szCs w:val="32"/>
          <w:highlight w:val="none"/>
          <w:lang w:eastAsia="zh-CN"/>
        </w:rPr>
        <w:t>一是</w:t>
      </w:r>
      <w:r>
        <w:rPr>
          <w:rFonts w:hint="eastAsia" w:ascii="仿宋_GB2312" w:hAnsi="仿宋" w:eastAsia="仿宋_GB2312" w:cs="仿宋"/>
          <w:color w:val="auto"/>
          <w:sz w:val="32"/>
          <w:szCs w:val="32"/>
          <w:highlight w:val="none"/>
          <w:lang w:eastAsia="zh-CN"/>
        </w:rPr>
        <w:t>教育均衡发展再上新台阶。全年教育经费支出</w:t>
      </w:r>
      <w:r>
        <w:rPr>
          <w:rFonts w:hint="eastAsia" w:ascii="仿宋_GB2312" w:hAnsi="仿宋" w:eastAsia="仿宋_GB2312" w:cs="仿宋"/>
          <w:color w:val="auto"/>
          <w:sz w:val="32"/>
          <w:szCs w:val="32"/>
          <w:highlight w:val="none"/>
          <w:lang w:val="en-US" w:eastAsia="zh-CN"/>
        </w:rPr>
        <w:t>57502</w:t>
      </w:r>
      <w:r>
        <w:rPr>
          <w:rFonts w:hint="eastAsia" w:ascii="仿宋_GB2312" w:hAnsi="仿宋" w:eastAsia="仿宋_GB2312" w:cs="仿宋"/>
          <w:color w:val="auto"/>
          <w:sz w:val="32"/>
          <w:szCs w:val="32"/>
          <w:highlight w:val="none"/>
          <w:lang w:eastAsia="zh-CN"/>
        </w:rPr>
        <w:t>万元，比去年同期增支</w:t>
      </w:r>
      <w:r>
        <w:rPr>
          <w:rFonts w:hint="eastAsia" w:ascii="仿宋_GB2312" w:hAnsi="仿宋" w:eastAsia="仿宋_GB2312" w:cs="仿宋"/>
          <w:color w:val="auto"/>
          <w:sz w:val="32"/>
          <w:szCs w:val="32"/>
          <w:highlight w:val="none"/>
          <w:lang w:val="en-US" w:eastAsia="zh-CN"/>
        </w:rPr>
        <w:t>1028</w:t>
      </w:r>
      <w:r>
        <w:rPr>
          <w:rFonts w:hint="eastAsia" w:ascii="仿宋_GB2312" w:hAnsi="仿宋" w:eastAsia="仿宋_GB2312" w:cs="仿宋"/>
          <w:color w:val="auto"/>
          <w:sz w:val="32"/>
          <w:szCs w:val="32"/>
          <w:highlight w:val="none"/>
          <w:lang w:eastAsia="zh-CN"/>
        </w:rPr>
        <w:t>万元，增长</w:t>
      </w:r>
      <w:r>
        <w:rPr>
          <w:rFonts w:hint="eastAsia" w:ascii="仿宋_GB2312" w:hAnsi="仿宋" w:eastAsia="仿宋_GB2312" w:cs="仿宋"/>
          <w:color w:val="auto"/>
          <w:sz w:val="32"/>
          <w:szCs w:val="32"/>
          <w:highlight w:val="none"/>
          <w:lang w:val="en-US" w:eastAsia="zh-CN"/>
        </w:rPr>
        <w:t>1.8</w:t>
      </w:r>
      <w:r>
        <w:rPr>
          <w:rFonts w:hint="eastAsia" w:ascii="仿宋_GB2312" w:hAnsi="仿宋" w:eastAsia="仿宋_GB2312" w:cs="仿宋"/>
          <w:color w:val="auto"/>
          <w:sz w:val="32"/>
          <w:szCs w:val="32"/>
          <w:highlight w:val="none"/>
          <w:lang w:eastAsia="zh-CN"/>
        </w:rPr>
        <w:t>%，占一般公共预算支出比重为</w:t>
      </w:r>
      <w:r>
        <w:rPr>
          <w:rFonts w:hint="eastAsia" w:ascii="仿宋_GB2312" w:hAnsi="仿宋" w:eastAsia="仿宋_GB2312" w:cs="仿宋"/>
          <w:color w:val="auto"/>
          <w:sz w:val="32"/>
          <w:szCs w:val="32"/>
          <w:highlight w:val="none"/>
          <w:lang w:val="en-US" w:eastAsia="zh-CN"/>
        </w:rPr>
        <w:t>18.3</w:t>
      </w:r>
      <w:r>
        <w:rPr>
          <w:rFonts w:hint="eastAsia" w:ascii="仿宋_GB2312" w:hAnsi="仿宋" w:eastAsia="仿宋_GB2312" w:cs="仿宋"/>
          <w:color w:val="auto"/>
          <w:sz w:val="32"/>
          <w:szCs w:val="32"/>
          <w:highlight w:val="none"/>
          <w:lang w:eastAsia="zh-CN"/>
        </w:rPr>
        <w:t>%。落实学前教育资助、义务教育家庭经济困难学生生活费补助等国家政策性资助资金1693.7万元，实现“应助尽助”。</w:t>
      </w:r>
      <w:r>
        <w:rPr>
          <w:rFonts w:hint="eastAsia" w:ascii="仿宋_GB2312" w:hAnsi="仿宋" w:eastAsia="仿宋_GB2312" w:cs="仿宋"/>
          <w:b/>
          <w:bCs/>
          <w:color w:val="auto"/>
          <w:sz w:val="32"/>
          <w:szCs w:val="32"/>
          <w:highlight w:val="none"/>
          <w:lang w:eastAsia="zh-CN"/>
        </w:rPr>
        <w:t>二是</w:t>
      </w:r>
      <w:r>
        <w:rPr>
          <w:rFonts w:hint="eastAsia" w:ascii="仿宋_GB2312" w:hAnsi="仿宋" w:eastAsia="仿宋_GB2312" w:cs="仿宋"/>
          <w:color w:val="auto"/>
          <w:sz w:val="32"/>
          <w:szCs w:val="32"/>
          <w:highlight w:val="none"/>
          <w:lang w:eastAsia="zh-CN"/>
        </w:rPr>
        <w:t>公共卫生体系建设有了新提升。全年卫生健康支出</w:t>
      </w:r>
      <w:r>
        <w:rPr>
          <w:rFonts w:hint="eastAsia" w:ascii="仿宋_GB2312" w:hAnsi="仿宋" w:eastAsia="仿宋_GB2312" w:cs="仿宋"/>
          <w:color w:val="auto"/>
          <w:sz w:val="32"/>
          <w:szCs w:val="32"/>
          <w:highlight w:val="none"/>
          <w:lang w:val="en-US" w:eastAsia="zh-CN"/>
        </w:rPr>
        <w:t>41618</w:t>
      </w:r>
      <w:r>
        <w:rPr>
          <w:rFonts w:hint="eastAsia" w:ascii="仿宋_GB2312" w:hAnsi="仿宋" w:eastAsia="仿宋_GB2312" w:cs="仿宋"/>
          <w:color w:val="auto"/>
          <w:sz w:val="32"/>
          <w:szCs w:val="32"/>
          <w:highlight w:val="none"/>
          <w:lang w:eastAsia="zh-CN"/>
        </w:rPr>
        <w:t>万元，坚持人民至上、生命至上，</w:t>
      </w:r>
      <w:r>
        <w:rPr>
          <w:rFonts w:hint="eastAsia" w:ascii="仿宋_GB2312" w:hAnsi="仿宋_GB2312" w:eastAsia="仿宋_GB2312" w:cs="仿宋_GB2312"/>
          <w:color w:val="auto"/>
          <w:sz w:val="32"/>
          <w:szCs w:val="32"/>
          <w:highlight w:val="none"/>
        </w:rPr>
        <w:t>安排疫情防控资金2552.6万元，保障常态化疫情防控资金需求</w:t>
      </w:r>
      <w:r>
        <w:rPr>
          <w:rFonts w:hint="eastAsia" w:ascii="仿宋_GB2312" w:hAnsi="仿宋" w:eastAsia="仿宋_GB2312" w:cs="仿宋"/>
          <w:color w:val="auto"/>
          <w:sz w:val="32"/>
          <w:szCs w:val="32"/>
          <w:highlight w:val="none"/>
          <w:lang w:eastAsia="zh-CN"/>
        </w:rPr>
        <w:t>。投入</w:t>
      </w:r>
      <w:r>
        <w:rPr>
          <w:rFonts w:hint="eastAsia" w:ascii="仿宋_GB2312" w:hAnsi="仿宋" w:eastAsia="仿宋_GB2312" w:cs="仿宋"/>
          <w:color w:val="auto"/>
          <w:sz w:val="32"/>
          <w:szCs w:val="32"/>
          <w:highlight w:val="none"/>
          <w:lang w:val="en-US" w:eastAsia="zh-CN"/>
        </w:rPr>
        <w:t>6246.6</w:t>
      </w:r>
      <w:r>
        <w:rPr>
          <w:rFonts w:hint="eastAsia" w:ascii="仿宋_GB2312" w:hAnsi="仿宋" w:eastAsia="仿宋_GB2312" w:cs="仿宋"/>
          <w:color w:val="auto"/>
          <w:sz w:val="32"/>
          <w:szCs w:val="32"/>
          <w:highlight w:val="none"/>
          <w:lang w:eastAsia="zh-CN"/>
        </w:rPr>
        <w:t>万元落实县乡公立医院运营补助，改善基层医疗卫生条件；投入</w:t>
      </w:r>
      <w:r>
        <w:rPr>
          <w:rFonts w:hint="eastAsia" w:ascii="仿宋_GB2312" w:hAnsi="仿宋" w:eastAsia="仿宋_GB2312" w:cs="仿宋"/>
          <w:color w:val="auto"/>
          <w:sz w:val="32"/>
          <w:szCs w:val="32"/>
          <w:highlight w:val="none"/>
          <w:lang w:val="en-US" w:eastAsia="zh-CN"/>
        </w:rPr>
        <w:t>2902.8</w:t>
      </w:r>
      <w:r>
        <w:rPr>
          <w:rFonts w:hint="eastAsia" w:ascii="仿宋_GB2312" w:hAnsi="仿宋" w:eastAsia="仿宋_GB2312" w:cs="仿宋"/>
          <w:color w:val="auto"/>
          <w:sz w:val="32"/>
          <w:szCs w:val="32"/>
          <w:highlight w:val="none"/>
          <w:lang w:eastAsia="zh-CN"/>
        </w:rPr>
        <w:t>万元，用于提升公共卫生服务效能，提高应对突发公共卫生事件和重大疾病的防控能力，保障居民享受更好的基本公共卫生服务。</w:t>
      </w:r>
      <w:r>
        <w:rPr>
          <w:rFonts w:hint="eastAsia" w:ascii="仿宋_GB2312" w:hAnsi="仿宋" w:eastAsia="仿宋_GB2312" w:cs="仿宋"/>
          <w:b/>
          <w:bCs/>
          <w:color w:val="auto"/>
          <w:sz w:val="32"/>
          <w:szCs w:val="32"/>
          <w:highlight w:val="none"/>
          <w:lang w:eastAsia="zh-CN"/>
        </w:rPr>
        <w:t>三是</w:t>
      </w:r>
      <w:r>
        <w:rPr>
          <w:rFonts w:hint="eastAsia" w:ascii="仿宋_GB2312" w:hAnsi="仿宋" w:eastAsia="仿宋_GB2312" w:cs="仿宋"/>
          <w:color w:val="auto"/>
          <w:sz w:val="32"/>
          <w:szCs w:val="32"/>
          <w:highlight w:val="none"/>
          <w:lang w:eastAsia="zh-CN"/>
        </w:rPr>
        <w:t>社会保障体系建设取得新进展。全年社会保障支出</w:t>
      </w:r>
      <w:r>
        <w:rPr>
          <w:rFonts w:hint="eastAsia" w:ascii="仿宋_GB2312" w:hAnsi="仿宋" w:eastAsia="仿宋_GB2312" w:cs="仿宋"/>
          <w:color w:val="auto"/>
          <w:sz w:val="32"/>
          <w:szCs w:val="32"/>
          <w:highlight w:val="none"/>
          <w:lang w:val="en-US" w:eastAsia="zh-CN"/>
        </w:rPr>
        <w:t>45557</w:t>
      </w:r>
      <w:r>
        <w:rPr>
          <w:rFonts w:hint="eastAsia" w:ascii="仿宋_GB2312" w:hAnsi="仿宋" w:eastAsia="仿宋_GB2312" w:cs="仿宋"/>
          <w:color w:val="auto"/>
          <w:sz w:val="32"/>
          <w:szCs w:val="32"/>
          <w:highlight w:val="none"/>
          <w:lang w:eastAsia="zh-CN"/>
        </w:rPr>
        <w:t>万元，发放就业补贴资金2345.7万元，失业保险金650万元，代缴医疗保险259万元。新增技能提升补贴454万元，有效解决了就业难题。养老保险待遇进一步提高，自2021年1月起，城乡居民基础养老金由原来108元调整至115元。困难群众生活日益改善，累计发放社会救助资金8311.4万元，资助特困人员及脱贫人员1057万元参保城乡居民医保。</w:t>
      </w:r>
      <w:r>
        <w:rPr>
          <w:rFonts w:hint="eastAsia" w:ascii="仿宋_GB2312" w:hAnsi="仿宋" w:eastAsia="仿宋_GB2312" w:cs="仿宋"/>
          <w:b/>
          <w:bCs/>
          <w:color w:val="auto"/>
          <w:sz w:val="32"/>
          <w:szCs w:val="32"/>
          <w:highlight w:val="none"/>
          <w:lang w:eastAsia="zh-CN"/>
        </w:rPr>
        <w:t>四是</w:t>
      </w:r>
      <w:r>
        <w:rPr>
          <w:rFonts w:hint="eastAsia" w:ascii="仿宋_GB2312" w:hAnsi="仿宋" w:eastAsia="仿宋_GB2312" w:cs="仿宋"/>
          <w:color w:val="auto"/>
          <w:sz w:val="32"/>
          <w:szCs w:val="32"/>
          <w:highlight w:val="none"/>
          <w:lang w:eastAsia="zh-CN"/>
        </w:rPr>
        <w:t>文化旅游事业发展取得新成就。大力支持文化旅游发展，安排端午节专项资金300万元、旅游专项资金500万元，为屈原故里端午文化节活动、全域旅游示范区创建提供资金保障，为市级争创“文明典范城市”作出贡献。</w:t>
      </w:r>
    </w:p>
    <w:p>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_GB2312" w:hAnsi="仿宋" w:eastAsia="仿宋_GB2312" w:cs="仿宋"/>
          <w:b/>
          <w:bCs/>
          <w:color w:val="auto"/>
          <w:sz w:val="32"/>
          <w:szCs w:val="32"/>
          <w:highlight w:val="none"/>
          <w:lang w:eastAsia="zh-CN"/>
        </w:rPr>
      </w:pPr>
      <w:r>
        <w:rPr>
          <w:rFonts w:hint="eastAsia" w:ascii="仿宋_GB2312" w:hAnsi="仿宋" w:eastAsia="仿宋_GB2312" w:cs="仿宋"/>
          <w:b/>
          <w:bCs/>
          <w:color w:val="auto"/>
          <w:sz w:val="32"/>
          <w:szCs w:val="32"/>
          <w:highlight w:val="none"/>
          <w:lang w:eastAsia="zh-CN"/>
        </w:rPr>
        <w:t>3.聚焦重点难点，集中力量持续克难攻坚。</w:t>
      </w:r>
    </w:p>
    <w:p>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_GB2312" w:hAnsi="仿宋" w:eastAsia="仿宋_GB2312" w:cs="仿宋"/>
          <w:color w:val="auto"/>
          <w:sz w:val="32"/>
          <w:szCs w:val="32"/>
          <w:highlight w:val="none"/>
          <w:lang w:val="en-US" w:eastAsia="zh-CN"/>
        </w:rPr>
      </w:pPr>
      <w:r>
        <w:rPr>
          <w:rFonts w:hint="eastAsia" w:ascii="仿宋_GB2312" w:hAnsi="仿宋" w:eastAsia="仿宋_GB2312" w:cs="仿宋"/>
          <w:b/>
          <w:bCs/>
          <w:color w:val="auto"/>
          <w:sz w:val="32"/>
          <w:szCs w:val="32"/>
          <w:highlight w:val="none"/>
          <w:lang w:eastAsia="zh-CN"/>
        </w:rPr>
        <w:t>一是</w:t>
      </w:r>
      <w:r>
        <w:rPr>
          <w:rFonts w:hint="eastAsia" w:ascii="仿宋_GB2312" w:hAnsi="仿宋" w:eastAsia="仿宋_GB2312" w:cs="仿宋"/>
          <w:color w:val="auto"/>
          <w:sz w:val="32"/>
          <w:szCs w:val="32"/>
          <w:highlight w:val="none"/>
          <w:lang w:eastAsia="zh-CN"/>
        </w:rPr>
        <w:t>全面推进乡村振兴。财政全年共投入农林水资金达</w:t>
      </w:r>
      <w:r>
        <w:rPr>
          <w:rFonts w:hint="eastAsia" w:ascii="仿宋_GB2312" w:hAnsi="仿宋" w:eastAsia="仿宋_GB2312" w:cs="仿宋"/>
          <w:color w:val="auto"/>
          <w:sz w:val="32"/>
          <w:szCs w:val="32"/>
          <w:highlight w:val="none"/>
          <w:lang w:val="en-US" w:eastAsia="zh-CN"/>
        </w:rPr>
        <w:t>60632</w:t>
      </w:r>
      <w:r>
        <w:rPr>
          <w:rFonts w:hint="eastAsia" w:ascii="仿宋_GB2312" w:hAnsi="仿宋" w:eastAsia="仿宋_GB2312" w:cs="仿宋"/>
          <w:color w:val="auto"/>
          <w:sz w:val="32"/>
          <w:szCs w:val="32"/>
          <w:highlight w:val="none"/>
          <w:lang w:eastAsia="zh-CN"/>
        </w:rPr>
        <w:t>万元，用于支持巩固拓展脱贫攻坚成果同乡村振兴有效衔接，以“产业兴旺、生态宜居、乡风文明、治理有效、生活富裕”为导向，促进农民增收，农业增效、农村美丽。</w:t>
      </w:r>
      <w:r>
        <w:rPr>
          <w:rFonts w:hint="eastAsia" w:ascii="仿宋_GB2312" w:hAnsi="仿宋" w:eastAsia="仿宋_GB2312" w:cs="仿宋"/>
          <w:b/>
          <w:bCs/>
          <w:color w:val="auto"/>
          <w:sz w:val="32"/>
          <w:szCs w:val="32"/>
          <w:highlight w:val="none"/>
          <w:lang w:eastAsia="zh-CN"/>
        </w:rPr>
        <w:t>二是</w:t>
      </w:r>
      <w:r>
        <w:rPr>
          <w:rFonts w:hint="eastAsia" w:ascii="仿宋_GB2312" w:hAnsi="仿宋" w:eastAsia="仿宋_GB2312" w:cs="仿宋"/>
          <w:color w:val="auto"/>
          <w:sz w:val="32"/>
          <w:szCs w:val="32"/>
          <w:highlight w:val="none"/>
          <w:lang w:eastAsia="zh-CN"/>
        </w:rPr>
        <w:t>深入开展污染防治。践行绿水青山就是金山银山理念，全年安排环境污染治理资金</w:t>
      </w:r>
      <w:r>
        <w:rPr>
          <w:rFonts w:hint="eastAsia" w:ascii="仿宋_GB2312" w:hAnsi="仿宋" w:eastAsia="仿宋_GB2312" w:cs="仿宋"/>
          <w:color w:val="auto"/>
          <w:sz w:val="32"/>
          <w:szCs w:val="32"/>
          <w:highlight w:val="none"/>
          <w:lang w:val="en-US" w:eastAsia="zh-CN"/>
        </w:rPr>
        <w:t>15000万</w:t>
      </w:r>
      <w:r>
        <w:rPr>
          <w:rFonts w:hint="eastAsia" w:ascii="仿宋_GB2312" w:hAnsi="仿宋" w:eastAsia="仿宋_GB2312" w:cs="仿宋"/>
          <w:color w:val="auto"/>
          <w:sz w:val="32"/>
          <w:szCs w:val="32"/>
          <w:highlight w:val="none"/>
          <w:lang w:eastAsia="zh-CN"/>
        </w:rPr>
        <w:t>元，生态保护与修复资金</w:t>
      </w:r>
      <w:r>
        <w:rPr>
          <w:rFonts w:hint="eastAsia" w:ascii="仿宋_GB2312" w:hAnsi="仿宋" w:eastAsia="仿宋_GB2312" w:cs="仿宋"/>
          <w:color w:val="auto"/>
          <w:sz w:val="32"/>
          <w:szCs w:val="32"/>
          <w:highlight w:val="none"/>
          <w:lang w:val="en-US" w:eastAsia="zh-CN"/>
        </w:rPr>
        <w:t>39500万</w:t>
      </w:r>
      <w:r>
        <w:rPr>
          <w:rFonts w:hint="eastAsia" w:ascii="仿宋_GB2312" w:hAnsi="仿宋" w:eastAsia="仿宋_GB2312" w:cs="仿宋"/>
          <w:color w:val="auto"/>
          <w:sz w:val="32"/>
          <w:szCs w:val="32"/>
          <w:highlight w:val="none"/>
          <w:lang w:eastAsia="zh-CN"/>
        </w:rPr>
        <w:t>元，让环境“美起来”。安排“擦亮小城镇”资金400万元，垃圾分类资金3115万元，环卫经费1760万元，让城乡“亮起来”。安排长江禁捕、河湖长制等资金2163万元，让河流“清起来”，人民群众的获得感和幸福感不断提升。</w:t>
      </w:r>
      <w:r>
        <w:rPr>
          <w:rFonts w:hint="eastAsia" w:ascii="仿宋_GB2312" w:hAnsi="仿宋" w:eastAsia="仿宋_GB2312" w:cs="仿宋"/>
          <w:b/>
          <w:bCs/>
          <w:color w:val="auto"/>
          <w:sz w:val="32"/>
          <w:szCs w:val="32"/>
          <w:highlight w:val="none"/>
          <w:lang w:eastAsia="zh-CN"/>
        </w:rPr>
        <w:t>三是</w:t>
      </w:r>
      <w:r>
        <w:rPr>
          <w:rFonts w:hint="eastAsia" w:ascii="仿宋_GB2312" w:hAnsi="仿宋" w:eastAsia="仿宋_GB2312" w:cs="仿宋"/>
          <w:color w:val="auto"/>
          <w:sz w:val="32"/>
          <w:szCs w:val="32"/>
          <w:highlight w:val="none"/>
          <w:lang w:eastAsia="zh-CN"/>
        </w:rPr>
        <w:t>防范化解重大风险。争取再融资债券</w:t>
      </w:r>
      <w:r>
        <w:rPr>
          <w:rFonts w:hint="eastAsia" w:ascii="仿宋_GB2312" w:hAnsi="仿宋" w:eastAsia="仿宋_GB2312" w:cs="仿宋"/>
          <w:color w:val="auto"/>
          <w:sz w:val="32"/>
          <w:szCs w:val="32"/>
          <w:highlight w:val="none"/>
          <w:lang w:val="en-US" w:eastAsia="zh-CN"/>
        </w:rPr>
        <w:t>24000</w:t>
      </w:r>
      <w:r>
        <w:rPr>
          <w:rFonts w:hint="eastAsia" w:ascii="仿宋_GB2312" w:hAnsi="仿宋" w:eastAsia="仿宋_GB2312" w:cs="仿宋"/>
          <w:color w:val="auto"/>
          <w:sz w:val="32"/>
          <w:szCs w:val="32"/>
          <w:highlight w:val="none"/>
          <w:lang w:eastAsia="zh-CN"/>
        </w:rPr>
        <w:t>万元，有效缓解了到期政府债务还债压力。当年共筹集资金偿还地方政府债务本息</w:t>
      </w:r>
      <w:r>
        <w:rPr>
          <w:rFonts w:hint="eastAsia" w:ascii="仿宋_GB2312" w:hAnsi="仿宋" w:eastAsia="仿宋_GB2312" w:cs="仿宋"/>
          <w:color w:val="auto"/>
          <w:sz w:val="32"/>
          <w:szCs w:val="32"/>
          <w:highlight w:val="none"/>
          <w:lang w:val="en-US" w:eastAsia="zh-CN"/>
        </w:rPr>
        <w:t>38689</w:t>
      </w:r>
      <w:r>
        <w:rPr>
          <w:rFonts w:hint="eastAsia" w:ascii="仿宋_GB2312" w:hAnsi="仿宋" w:eastAsia="仿宋_GB2312" w:cs="仿宋"/>
          <w:color w:val="auto"/>
          <w:sz w:val="32"/>
          <w:szCs w:val="32"/>
          <w:highlight w:val="none"/>
          <w:lang w:eastAsia="zh-CN"/>
        </w:rPr>
        <w:t>万元，其中：本金</w:t>
      </w:r>
      <w:r>
        <w:rPr>
          <w:rFonts w:hint="eastAsia" w:ascii="仿宋_GB2312" w:hAnsi="仿宋" w:eastAsia="仿宋_GB2312" w:cs="仿宋"/>
          <w:color w:val="auto"/>
          <w:sz w:val="32"/>
          <w:szCs w:val="32"/>
          <w:highlight w:val="none"/>
          <w:lang w:val="en-US" w:eastAsia="zh-CN"/>
        </w:rPr>
        <w:t>25531</w:t>
      </w:r>
      <w:r>
        <w:rPr>
          <w:rFonts w:hint="eastAsia" w:ascii="仿宋_GB2312" w:hAnsi="仿宋" w:eastAsia="仿宋_GB2312" w:cs="仿宋"/>
          <w:color w:val="auto"/>
          <w:sz w:val="32"/>
          <w:szCs w:val="32"/>
          <w:highlight w:val="none"/>
          <w:lang w:eastAsia="zh-CN"/>
        </w:rPr>
        <w:t>万元，利息</w:t>
      </w:r>
      <w:r>
        <w:rPr>
          <w:rFonts w:hint="eastAsia" w:ascii="仿宋_GB2312" w:hAnsi="仿宋" w:eastAsia="仿宋_GB2312" w:cs="仿宋"/>
          <w:color w:val="auto"/>
          <w:sz w:val="32"/>
          <w:szCs w:val="32"/>
          <w:highlight w:val="none"/>
          <w:lang w:val="en-US" w:eastAsia="zh-CN"/>
        </w:rPr>
        <w:t>13158</w:t>
      </w:r>
      <w:r>
        <w:rPr>
          <w:rFonts w:hint="eastAsia" w:ascii="仿宋_GB2312" w:hAnsi="仿宋" w:eastAsia="仿宋_GB2312" w:cs="仿宋"/>
          <w:color w:val="auto"/>
          <w:sz w:val="32"/>
          <w:szCs w:val="32"/>
          <w:highlight w:val="none"/>
          <w:lang w:eastAsia="zh-CN"/>
        </w:rPr>
        <w:t>万元。争取新增债券资金</w:t>
      </w:r>
      <w:r>
        <w:rPr>
          <w:rFonts w:hint="eastAsia" w:ascii="仿宋_GB2312" w:hAnsi="仿宋" w:eastAsia="仿宋_GB2312" w:cs="仿宋"/>
          <w:color w:val="auto"/>
          <w:sz w:val="32"/>
          <w:szCs w:val="32"/>
          <w:highlight w:val="none"/>
          <w:lang w:val="en-US" w:eastAsia="zh-CN"/>
        </w:rPr>
        <w:t>49079万元有效促进了康养园、天问文化广场、曲溪污水处理厂等重点项目建设。</w:t>
      </w:r>
    </w:p>
    <w:p>
      <w:pPr>
        <w:keepNext w:val="0"/>
        <w:keepLines w:val="0"/>
        <w:pageBreakBefore w:val="0"/>
        <w:widowControl/>
        <w:kinsoku/>
        <w:wordWrap/>
        <w:overflowPunct/>
        <w:topLinePunct w:val="0"/>
        <w:autoSpaceDE/>
        <w:autoSpaceDN/>
        <w:bidi w:val="0"/>
        <w:spacing w:line="560" w:lineRule="exact"/>
        <w:ind w:firstLine="643" w:firstLineChars="200"/>
        <w:rPr>
          <w:rFonts w:hint="eastAsia" w:ascii="仿宋_GB2312" w:hAnsi="仿宋" w:eastAsia="仿宋_GB2312" w:cs="仿宋"/>
          <w:b/>
          <w:bCs/>
          <w:color w:val="auto"/>
          <w:sz w:val="32"/>
          <w:szCs w:val="32"/>
          <w:highlight w:val="none"/>
          <w:lang w:eastAsia="zh-CN"/>
        </w:rPr>
      </w:pPr>
      <w:r>
        <w:rPr>
          <w:rFonts w:hint="eastAsia" w:ascii="仿宋_GB2312" w:hAnsi="仿宋" w:eastAsia="仿宋_GB2312" w:cs="仿宋"/>
          <w:b/>
          <w:bCs/>
          <w:color w:val="auto"/>
          <w:sz w:val="32"/>
          <w:szCs w:val="32"/>
          <w:highlight w:val="none"/>
          <w:lang w:eastAsia="zh-CN"/>
        </w:rPr>
        <w:t>4.聚焦纾困惠企，多措并举推动经济发展。</w:t>
      </w:r>
    </w:p>
    <w:p>
      <w:pPr>
        <w:keepNext w:val="0"/>
        <w:keepLines w:val="0"/>
        <w:pageBreakBefore w:val="0"/>
        <w:widowControl/>
        <w:kinsoku/>
        <w:wordWrap/>
        <w:overflowPunct/>
        <w:topLinePunct w:val="0"/>
        <w:autoSpaceDE/>
        <w:autoSpaceDN/>
        <w:bidi w:val="0"/>
        <w:spacing w:line="560" w:lineRule="exact"/>
        <w:ind w:firstLine="643" w:firstLineChars="200"/>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b/>
          <w:bCs/>
          <w:color w:val="auto"/>
          <w:sz w:val="32"/>
          <w:szCs w:val="32"/>
          <w:highlight w:val="none"/>
          <w:lang w:eastAsia="zh-CN"/>
        </w:rPr>
        <w:t>一是</w:t>
      </w:r>
      <w:r>
        <w:rPr>
          <w:rFonts w:hint="eastAsia" w:ascii="仿宋_GB2312" w:hAnsi="仿宋" w:eastAsia="仿宋_GB2312" w:cs="仿宋"/>
          <w:color w:val="auto"/>
          <w:sz w:val="32"/>
          <w:szCs w:val="32"/>
          <w:highlight w:val="none"/>
          <w:lang w:eastAsia="zh-CN"/>
        </w:rPr>
        <w:t>大力支持县域经济发展。全年累计兑现46家企业“小进限”、“小进规”、“园区孵化”、“外贸出口”奖励资金603.5万元，落实中小微企业创业园租房补贴243.8万元，兑现上级涉企各类奖励补贴资金1762.8万元。</w:t>
      </w:r>
      <w:r>
        <w:rPr>
          <w:rFonts w:hint="eastAsia" w:ascii="仿宋_GB2312" w:hAnsi="仿宋" w:eastAsia="仿宋_GB2312" w:cs="仿宋"/>
          <w:b/>
          <w:bCs/>
          <w:color w:val="auto"/>
          <w:sz w:val="32"/>
          <w:szCs w:val="32"/>
          <w:highlight w:val="none"/>
          <w:lang w:eastAsia="zh-CN"/>
        </w:rPr>
        <w:t>二是</w:t>
      </w:r>
      <w:r>
        <w:rPr>
          <w:rFonts w:hint="eastAsia" w:ascii="仿宋_GB2312" w:hAnsi="仿宋" w:eastAsia="仿宋_GB2312" w:cs="仿宋"/>
          <w:color w:val="auto"/>
          <w:sz w:val="32"/>
          <w:szCs w:val="32"/>
          <w:highlight w:val="none"/>
          <w:lang w:eastAsia="zh-CN"/>
        </w:rPr>
        <w:t>全面落实减税降费政策。精准编制并主动向社会发布《2021年秭归县县级政府非税收入目录清单》，确保减税降费各项政策及时落实。2021年新增减税5927万元，累计取消、暂停征收、对小微企业免收、降低标准等降费项目73个，减轻市场主体费用负担2392万元，减免市场主体房租500万元。</w:t>
      </w:r>
      <w:r>
        <w:rPr>
          <w:rFonts w:hint="eastAsia" w:ascii="仿宋_GB2312" w:hAnsi="仿宋" w:eastAsia="仿宋_GB2312" w:cs="仿宋"/>
          <w:b/>
          <w:bCs/>
          <w:color w:val="auto"/>
          <w:sz w:val="32"/>
          <w:szCs w:val="32"/>
          <w:highlight w:val="none"/>
          <w:lang w:eastAsia="zh-CN"/>
        </w:rPr>
        <w:t>三是</w:t>
      </w:r>
      <w:r>
        <w:rPr>
          <w:rFonts w:hint="eastAsia" w:ascii="仿宋_GB2312" w:hAnsi="仿宋" w:eastAsia="仿宋_GB2312" w:cs="仿宋"/>
          <w:color w:val="auto"/>
          <w:sz w:val="32"/>
          <w:szCs w:val="32"/>
          <w:highlight w:val="none"/>
          <w:lang w:eastAsia="zh-CN"/>
        </w:rPr>
        <w:t>积极落实普惠金融政策。发放创业担保贷款1003笔，贷款金额</w:t>
      </w:r>
      <w:r>
        <w:rPr>
          <w:rFonts w:hint="eastAsia" w:ascii="仿宋_GB2312" w:hAnsi="仿宋" w:eastAsia="仿宋_GB2312" w:cs="仿宋"/>
          <w:color w:val="auto"/>
          <w:sz w:val="32"/>
          <w:szCs w:val="32"/>
          <w:highlight w:val="none"/>
          <w:lang w:val="en-US" w:eastAsia="zh-CN"/>
        </w:rPr>
        <w:t>31700万元</w:t>
      </w:r>
      <w:r>
        <w:rPr>
          <w:rFonts w:hint="eastAsia" w:ascii="仿宋_GB2312" w:hAnsi="仿宋" w:eastAsia="仿宋_GB2312" w:cs="仿宋"/>
          <w:color w:val="auto"/>
          <w:sz w:val="32"/>
          <w:szCs w:val="32"/>
          <w:highlight w:val="none"/>
          <w:lang w:eastAsia="zh-CN"/>
        </w:rPr>
        <w:t>，拨付财政贴息资金7451.2万元。安排科学技术研究、科技专项等资金335万元，大力支持企业进行技术改造和科技创新。加大招商引资工作力度，兑现招商引资企业政策资金</w:t>
      </w:r>
      <w:r>
        <w:rPr>
          <w:rFonts w:hint="eastAsia" w:ascii="仿宋_GB2312" w:hAnsi="仿宋" w:eastAsia="仿宋_GB2312" w:cs="仿宋"/>
          <w:color w:val="auto"/>
          <w:sz w:val="32"/>
          <w:szCs w:val="32"/>
          <w:highlight w:val="none"/>
          <w:lang w:val="en-US" w:eastAsia="zh-CN"/>
        </w:rPr>
        <w:t>4309.1</w:t>
      </w:r>
      <w:r>
        <w:rPr>
          <w:rFonts w:hint="eastAsia" w:ascii="仿宋_GB2312" w:hAnsi="仿宋" w:eastAsia="仿宋_GB2312" w:cs="仿宋"/>
          <w:color w:val="auto"/>
          <w:sz w:val="32"/>
          <w:szCs w:val="32"/>
          <w:highlight w:val="none"/>
          <w:lang w:eastAsia="zh-CN"/>
        </w:rPr>
        <w:t>万元。</w:t>
      </w:r>
    </w:p>
    <w:p>
      <w:pPr>
        <w:keepNext w:val="0"/>
        <w:keepLines w:val="0"/>
        <w:pageBreakBefore w:val="0"/>
        <w:widowControl/>
        <w:kinsoku/>
        <w:wordWrap/>
        <w:overflowPunct/>
        <w:topLinePunct w:val="0"/>
        <w:autoSpaceDE/>
        <w:autoSpaceDN/>
        <w:bidi w:val="0"/>
        <w:spacing w:line="560" w:lineRule="exact"/>
        <w:ind w:firstLine="643" w:firstLineChars="200"/>
        <w:rPr>
          <w:rFonts w:hint="eastAsia" w:ascii="仿宋_GB2312" w:hAnsi="仿宋" w:eastAsia="仿宋_GB2312" w:cs="仿宋"/>
          <w:b/>
          <w:bCs/>
          <w:color w:val="auto"/>
          <w:sz w:val="32"/>
          <w:szCs w:val="32"/>
          <w:highlight w:val="none"/>
          <w:lang w:eastAsia="zh-CN"/>
        </w:rPr>
      </w:pPr>
      <w:r>
        <w:rPr>
          <w:rFonts w:hint="eastAsia" w:ascii="仿宋_GB2312" w:hAnsi="仿宋" w:eastAsia="仿宋_GB2312" w:cs="仿宋"/>
          <w:b/>
          <w:bCs/>
          <w:color w:val="auto"/>
          <w:sz w:val="32"/>
          <w:szCs w:val="32"/>
          <w:highlight w:val="none"/>
          <w:lang w:eastAsia="zh-CN"/>
        </w:rPr>
        <w:t>5.聚焦改革创新，不断提升财政管理水平。</w:t>
      </w:r>
    </w:p>
    <w:p>
      <w:pPr>
        <w:keepNext w:val="0"/>
        <w:keepLines w:val="0"/>
        <w:pageBreakBefore w:val="0"/>
        <w:kinsoku/>
        <w:wordWrap/>
        <w:overflowPunct/>
        <w:topLinePunct w:val="0"/>
        <w:autoSpaceDE/>
        <w:autoSpaceDN/>
        <w:bidi w:val="0"/>
        <w:spacing w:line="560" w:lineRule="exact"/>
        <w:ind w:firstLine="643" w:firstLineChars="200"/>
        <w:rPr>
          <w:rFonts w:ascii="仿宋_GB2312" w:hAnsi="楷体_GB2312" w:eastAsia="仿宋_GB2312" w:cs="楷体_GB2312"/>
          <w:color w:val="auto"/>
          <w:sz w:val="32"/>
          <w:szCs w:val="32"/>
          <w:highlight w:val="none"/>
        </w:rPr>
      </w:pPr>
      <w:r>
        <w:rPr>
          <w:rFonts w:hint="eastAsia" w:ascii="仿宋_GB2312" w:hAnsi="黑体" w:eastAsia="仿宋_GB2312"/>
          <w:b/>
          <w:bCs/>
          <w:color w:val="auto"/>
          <w:sz w:val="32"/>
          <w:szCs w:val="32"/>
          <w:highlight w:val="none"/>
        </w:rPr>
        <w:t>一是</w:t>
      </w:r>
      <w:r>
        <w:rPr>
          <w:rFonts w:hint="eastAsia" w:ascii="仿宋_GB2312" w:hAnsi="仿宋_GB2312" w:eastAsia="仿宋_GB2312" w:cs="仿宋_GB2312"/>
          <w:color w:val="auto"/>
          <w:sz w:val="32"/>
          <w:szCs w:val="32"/>
          <w:highlight w:val="none"/>
        </w:rPr>
        <w:t>积极推进预算</w:t>
      </w:r>
      <w:r>
        <w:rPr>
          <w:rFonts w:hint="eastAsia" w:ascii="仿宋_GB2312" w:hAnsi="仿宋_GB2312" w:eastAsia="仿宋_GB2312" w:cs="仿宋_GB2312"/>
          <w:color w:val="auto"/>
          <w:sz w:val="32"/>
          <w:szCs w:val="32"/>
          <w:highlight w:val="none"/>
          <w:lang w:eastAsia="zh-CN"/>
        </w:rPr>
        <w:t>管理</w:t>
      </w:r>
      <w:r>
        <w:rPr>
          <w:rFonts w:hint="eastAsia" w:ascii="仿宋_GB2312" w:hAnsi="仿宋_GB2312" w:eastAsia="仿宋_GB2312" w:cs="仿宋_GB2312"/>
          <w:color w:val="auto"/>
          <w:sz w:val="32"/>
          <w:szCs w:val="32"/>
          <w:highlight w:val="none"/>
        </w:rPr>
        <w:t>一体化建设。圆满完成预算执行模块及会计核算模块上线运行、预算编制单位全覆盖的目标。</w:t>
      </w:r>
      <w:r>
        <w:rPr>
          <w:rFonts w:hint="eastAsia" w:ascii="仿宋_GB2312" w:hAnsi="仿宋" w:eastAsia="仿宋_GB2312" w:cs="仿宋"/>
          <w:color w:val="auto"/>
          <w:sz w:val="32"/>
          <w:szCs w:val="32"/>
          <w:highlight w:val="none"/>
        </w:rPr>
        <w:t>全县各预算单位全部通过预算管理一体化系统进行资金拨付、编制2022年部门预算。</w:t>
      </w:r>
      <w:r>
        <w:rPr>
          <w:rFonts w:hint="eastAsia" w:ascii="仿宋_GB2312" w:hAnsi="仿宋" w:eastAsia="仿宋_GB2312" w:cs="仿宋"/>
          <w:b/>
          <w:bCs/>
          <w:color w:val="auto"/>
          <w:sz w:val="32"/>
          <w:szCs w:val="32"/>
          <w:highlight w:val="none"/>
        </w:rPr>
        <w:t>二是</w:t>
      </w:r>
      <w:r>
        <w:rPr>
          <w:rFonts w:hint="eastAsia" w:ascii="仿宋_GB2312" w:hAnsi="仿宋_GB2312" w:eastAsia="仿宋_GB2312" w:cs="仿宋_GB2312"/>
          <w:color w:val="auto"/>
          <w:sz w:val="32"/>
          <w:szCs w:val="32"/>
          <w:highlight w:val="none"/>
        </w:rPr>
        <w:t>强化预算绩效评价工作。</w:t>
      </w:r>
      <w:r>
        <w:rPr>
          <w:rFonts w:hint="eastAsia" w:ascii="仿宋_GB2312" w:hAnsi="仿宋" w:eastAsia="仿宋_GB2312" w:cs="仿宋"/>
          <w:color w:val="auto"/>
          <w:sz w:val="32"/>
          <w:szCs w:val="32"/>
          <w:highlight w:val="none"/>
        </w:rPr>
        <w:t>实现预算与绩效深度融合，绩效目标与部门预算同步公开</w:t>
      </w:r>
      <w:r>
        <w:rPr>
          <w:rFonts w:hint="eastAsia" w:ascii="仿宋_GB2312" w:hAnsi="仿宋_GB2312" w:eastAsia="仿宋_GB2312" w:cs="仿宋_GB2312"/>
          <w:color w:val="auto"/>
          <w:sz w:val="32"/>
          <w:szCs w:val="32"/>
          <w:highlight w:val="none"/>
        </w:rPr>
        <w:t>。高质量推动我县绩效指标标准体系建设，打造三大绩效指标标准体系</w:t>
      </w:r>
      <w:r>
        <w:rPr>
          <w:rFonts w:hint="eastAsia" w:ascii="仿宋_GB2312" w:hAnsi="仿宋_GB2312" w:eastAsia="仿宋_GB2312" w:cs="仿宋_GB2312"/>
          <w:color w:val="auto"/>
          <w:sz w:val="32"/>
          <w:szCs w:val="32"/>
          <w:highlight w:val="none"/>
          <w:lang w:eastAsia="zh-CN"/>
        </w:rPr>
        <w:t>，</w:t>
      </w:r>
      <w:r>
        <w:rPr>
          <w:rFonts w:hint="eastAsia" w:ascii="仿宋_GB2312" w:hAnsi="仿宋" w:eastAsia="仿宋_GB2312" w:cs="仿宋"/>
          <w:color w:val="auto"/>
          <w:sz w:val="32"/>
          <w:szCs w:val="32"/>
          <w:highlight w:val="none"/>
        </w:rPr>
        <w:t>预算绩效管理考核全省排名前十，全市第一</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b/>
          <w:bCs/>
          <w:color w:val="auto"/>
          <w:sz w:val="32"/>
          <w:szCs w:val="32"/>
          <w:highlight w:val="none"/>
        </w:rPr>
        <w:t>三是</w:t>
      </w:r>
      <w:r>
        <w:rPr>
          <w:rFonts w:hint="eastAsia" w:ascii="仿宋_GB2312" w:hAnsi="仿宋" w:eastAsia="仿宋_GB2312" w:cs="仿宋"/>
          <w:color w:val="auto"/>
          <w:sz w:val="32"/>
          <w:szCs w:val="32"/>
          <w:highlight w:val="none"/>
        </w:rPr>
        <w:t>扎实推进乡镇财政体制改革。进一步理顺县乡财政分配关系，巩固和加强基层财源建设。通过建立一系列激励性转移支付措施，鼓励乡镇培植涵养财源，充分调动各乡镇谋财聚财的积极性，不断壮大地方财政实力。</w:t>
      </w:r>
      <w:r>
        <w:rPr>
          <w:rFonts w:hint="eastAsia" w:ascii="仿宋_GB2312" w:hAnsi="仿宋" w:eastAsia="仿宋_GB2312" w:cs="仿宋"/>
          <w:b/>
          <w:bCs/>
          <w:color w:val="auto"/>
          <w:sz w:val="32"/>
          <w:szCs w:val="32"/>
          <w:highlight w:val="none"/>
        </w:rPr>
        <w:t>四是</w:t>
      </w:r>
      <w:r>
        <w:rPr>
          <w:rFonts w:hint="eastAsia" w:ascii="仿宋_GB2312" w:hAnsi="Calibri" w:eastAsia="仿宋_GB2312"/>
          <w:color w:val="auto"/>
          <w:sz w:val="32"/>
          <w:szCs w:val="32"/>
          <w:highlight w:val="none"/>
        </w:rPr>
        <w:t>稳步推进国企改革三年行动。理顺企业管理体制，加快推进改制重组</w:t>
      </w:r>
      <w:r>
        <w:rPr>
          <w:rFonts w:hint="eastAsia" w:ascii="仿宋_GB2312" w:hAnsi="Calibri" w:eastAsia="仿宋_GB2312"/>
          <w:color w:val="auto"/>
          <w:sz w:val="32"/>
          <w:szCs w:val="32"/>
          <w:highlight w:val="none"/>
          <w:lang w:eastAsia="zh-CN"/>
        </w:rPr>
        <w:t>；</w:t>
      </w:r>
      <w:r>
        <w:rPr>
          <w:rFonts w:hint="eastAsia" w:ascii="仿宋_GB2312" w:hAnsi="Calibri" w:eastAsia="仿宋_GB2312"/>
          <w:color w:val="auto"/>
          <w:sz w:val="32"/>
          <w:szCs w:val="32"/>
          <w:highlight w:val="none"/>
        </w:rPr>
        <w:t>全面完成国有企业退休人员社会化管理工作;持续推动县出资企业违规经营投资责任追究体系建设。</w:t>
      </w:r>
      <w:r>
        <w:rPr>
          <w:rFonts w:hint="eastAsia" w:ascii="仿宋_GB2312" w:hAnsi="Calibri" w:eastAsia="仿宋_GB2312"/>
          <w:b/>
          <w:bCs/>
          <w:color w:val="auto"/>
          <w:sz w:val="32"/>
          <w:szCs w:val="32"/>
          <w:highlight w:val="none"/>
          <w:lang w:eastAsia="zh-CN"/>
        </w:rPr>
        <w:t>五</w:t>
      </w:r>
      <w:r>
        <w:rPr>
          <w:rFonts w:hint="eastAsia" w:ascii="仿宋_GB2312" w:hAnsi="Calibri" w:eastAsia="仿宋_GB2312"/>
          <w:b/>
          <w:bCs/>
          <w:color w:val="auto"/>
          <w:sz w:val="32"/>
          <w:szCs w:val="32"/>
          <w:highlight w:val="none"/>
        </w:rPr>
        <w:t>是</w:t>
      </w:r>
      <w:r>
        <w:rPr>
          <w:rFonts w:hint="eastAsia" w:ascii="仿宋_GB2312" w:hAnsi="Calibri" w:eastAsia="仿宋_GB2312"/>
          <w:color w:val="auto"/>
          <w:sz w:val="32"/>
          <w:szCs w:val="32"/>
          <w:highlight w:val="none"/>
        </w:rPr>
        <w:t>深化政府采购制度改革。</w:t>
      </w:r>
      <w:r>
        <w:rPr>
          <w:rFonts w:hint="eastAsia" w:ascii="仿宋_GB2312" w:hAnsi="方正仿宋_GB2312" w:eastAsia="仿宋_GB2312" w:cs="方正仿宋_GB2312"/>
          <w:color w:val="auto"/>
          <w:sz w:val="32"/>
          <w:szCs w:val="32"/>
          <w:highlight w:val="none"/>
        </w:rPr>
        <w:t>优化政府采购营商环境</w:t>
      </w:r>
      <w:r>
        <w:rPr>
          <w:rFonts w:hint="eastAsia" w:ascii="仿宋_GB2312" w:hAnsi="方正仿宋_GB2312" w:eastAsia="仿宋_GB2312" w:cs="方正仿宋_GB2312"/>
          <w:color w:val="auto"/>
          <w:sz w:val="32"/>
          <w:szCs w:val="32"/>
          <w:highlight w:val="none"/>
          <w:lang w:eastAsia="zh-CN"/>
        </w:rPr>
        <w:t>；</w:t>
      </w:r>
      <w:r>
        <w:rPr>
          <w:rFonts w:hint="eastAsia" w:ascii="仿宋_GB2312" w:hAnsi="方正仿宋_GB2312" w:eastAsia="仿宋_GB2312" w:cs="方正仿宋_GB2312"/>
          <w:color w:val="auto"/>
          <w:sz w:val="32"/>
          <w:szCs w:val="32"/>
          <w:highlight w:val="none"/>
        </w:rPr>
        <w:t>预留份额专门面向中小企业采购、执行价格评审优惠措施，切实解决中小企业融资难、融资贵问题。</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eastAsia="zh-CN"/>
        </w:rPr>
        <w:t>各位代表，虽然一年来工作取得了一定成绩，但我县财政运行仍然存在着一些困难和问题：</w:t>
      </w:r>
      <w:r>
        <w:rPr>
          <w:rFonts w:hint="eastAsia" w:ascii="仿宋_GB2312" w:hAnsi="仿宋" w:eastAsia="仿宋_GB2312" w:cs="仿宋"/>
          <w:b/>
          <w:bCs/>
          <w:color w:val="auto"/>
          <w:sz w:val="32"/>
          <w:szCs w:val="32"/>
          <w:highlight w:val="none"/>
          <w:lang w:eastAsia="zh-CN"/>
        </w:rPr>
        <w:t>一是</w:t>
      </w:r>
      <w:r>
        <w:rPr>
          <w:rFonts w:hint="eastAsia" w:ascii="仿宋_GB2312" w:hAnsi="仿宋" w:eastAsia="仿宋_GB2312" w:cs="仿宋"/>
          <w:color w:val="auto"/>
          <w:sz w:val="32"/>
          <w:szCs w:val="32"/>
          <w:highlight w:val="none"/>
          <w:lang w:eastAsia="zh-CN"/>
        </w:rPr>
        <w:t>财源建设不够。受国家宏观政策调控、新冠肺炎疫情的影响，财政收入持续高速恢复性增长难度加大。</w:t>
      </w:r>
      <w:r>
        <w:rPr>
          <w:rFonts w:hint="eastAsia" w:ascii="仿宋_GB2312" w:hAnsi="仿宋" w:eastAsia="仿宋_GB2312" w:cs="仿宋"/>
          <w:b/>
          <w:bCs/>
          <w:color w:val="auto"/>
          <w:sz w:val="32"/>
          <w:szCs w:val="32"/>
          <w:highlight w:val="none"/>
          <w:lang w:eastAsia="zh-CN"/>
        </w:rPr>
        <w:t>二是</w:t>
      </w:r>
      <w:r>
        <w:rPr>
          <w:rFonts w:hint="eastAsia" w:ascii="仿宋_GB2312" w:hAnsi="仿宋" w:eastAsia="仿宋_GB2312" w:cs="仿宋"/>
          <w:color w:val="auto"/>
          <w:sz w:val="32"/>
          <w:szCs w:val="32"/>
          <w:highlight w:val="none"/>
          <w:lang w:eastAsia="zh-CN"/>
        </w:rPr>
        <w:t>收支平衡难度加大。刚性支出不断增加，新增可用财力有限，财政收支矛盾日益突出。</w:t>
      </w:r>
      <w:r>
        <w:rPr>
          <w:rFonts w:hint="eastAsia" w:ascii="仿宋_GB2312" w:hAnsi="仿宋" w:eastAsia="仿宋_GB2312" w:cs="仿宋"/>
          <w:b/>
          <w:bCs/>
          <w:color w:val="auto"/>
          <w:sz w:val="32"/>
          <w:szCs w:val="32"/>
          <w:highlight w:val="none"/>
          <w:lang w:eastAsia="zh-CN"/>
        </w:rPr>
        <w:t>三是</w:t>
      </w:r>
      <w:r>
        <w:rPr>
          <w:rFonts w:hint="eastAsia" w:ascii="仿宋_GB2312" w:hAnsi="仿宋" w:eastAsia="仿宋_GB2312" w:cs="仿宋"/>
          <w:color w:val="auto"/>
          <w:sz w:val="32"/>
          <w:szCs w:val="32"/>
          <w:highlight w:val="none"/>
          <w:lang w:eastAsia="zh-CN"/>
        </w:rPr>
        <w:t>预算绩效管理仍需提升。预算执行刚性约束不强、预算调整调剂等问题不同程度存在，财政基础管理和预算管理还需要加强。</w:t>
      </w:r>
    </w:p>
    <w:p>
      <w:pPr>
        <w:keepNext w:val="0"/>
        <w:keepLines w:val="0"/>
        <w:pageBreakBefore w:val="0"/>
        <w:kinsoku/>
        <w:wordWrap/>
        <w:overflowPunct/>
        <w:topLinePunct w:val="0"/>
        <w:autoSpaceDE/>
        <w:autoSpaceDN/>
        <w:bidi w:val="0"/>
        <w:spacing w:line="560" w:lineRule="exact"/>
        <w:ind w:firstLine="640" w:firstLineChars="20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二、202</w:t>
      </w:r>
      <w:r>
        <w:rPr>
          <w:rFonts w:hint="eastAsia" w:ascii="黑体" w:hAnsi="黑体" w:eastAsia="黑体" w:cs="黑体"/>
          <w:color w:val="auto"/>
          <w:sz w:val="32"/>
          <w:szCs w:val="32"/>
          <w:highlight w:val="none"/>
          <w:lang w:val="en-US" w:eastAsia="zh-CN"/>
        </w:rPr>
        <w:t>2</w:t>
      </w:r>
      <w:r>
        <w:rPr>
          <w:rFonts w:hint="eastAsia" w:ascii="黑体" w:hAnsi="黑体" w:eastAsia="黑体" w:cs="黑体"/>
          <w:color w:val="auto"/>
          <w:sz w:val="32"/>
          <w:szCs w:val="32"/>
          <w:highlight w:val="none"/>
        </w:rPr>
        <w:t>年预算草案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（一）</w:t>
      </w:r>
      <w:r>
        <w:rPr>
          <w:rFonts w:hint="eastAsia" w:ascii="楷体_GB2312" w:hAnsi="楷体_GB2312" w:eastAsia="楷体_GB2312" w:cs="楷体_GB2312"/>
          <w:color w:val="auto"/>
          <w:sz w:val="32"/>
          <w:szCs w:val="32"/>
          <w:highlight w:val="none"/>
          <w:lang w:eastAsia="zh-CN"/>
        </w:rPr>
        <w:t>预算编制的</w:t>
      </w:r>
      <w:r>
        <w:rPr>
          <w:rFonts w:hint="eastAsia" w:ascii="楷体_GB2312" w:hAnsi="楷体_GB2312" w:eastAsia="楷体_GB2312" w:cs="楷体_GB2312"/>
          <w:color w:val="auto"/>
          <w:sz w:val="32"/>
          <w:szCs w:val="32"/>
          <w:highlight w:val="none"/>
        </w:rPr>
        <w:t>指导思想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以习近平新时代中国特色社会主义思想为指导，</w:t>
      </w:r>
      <w:r>
        <w:rPr>
          <w:rFonts w:hint="eastAsia" w:ascii="仿宋_GB2312" w:hAnsi="仿宋_GB2312" w:eastAsia="仿宋_GB2312" w:cs="仿宋_GB2312"/>
          <w:color w:val="auto"/>
          <w:sz w:val="32"/>
          <w:szCs w:val="32"/>
          <w:highlight w:val="none"/>
          <w:lang w:eastAsia="zh-CN"/>
        </w:rPr>
        <w:t>学习</w:t>
      </w:r>
      <w:r>
        <w:rPr>
          <w:rFonts w:hint="eastAsia" w:ascii="仿宋_GB2312" w:hAnsi="仿宋_GB2312" w:eastAsia="仿宋_GB2312" w:cs="仿宋_GB2312"/>
          <w:color w:val="auto"/>
          <w:sz w:val="32"/>
          <w:szCs w:val="32"/>
          <w:highlight w:val="none"/>
        </w:rPr>
        <w:t>贯彻党的十九大和十九届历次全会精神,认真落实中央、省</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市</w:t>
      </w:r>
      <w:r>
        <w:rPr>
          <w:rFonts w:hint="eastAsia" w:ascii="仿宋_GB2312" w:hAnsi="仿宋_GB2312" w:eastAsia="仿宋_GB2312" w:cs="仿宋_GB2312"/>
          <w:color w:val="auto"/>
          <w:sz w:val="32"/>
          <w:szCs w:val="32"/>
          <w:highlight w:val="none"/>
        </w:rPr>
        <w:t>和</w:t>
      </w:r>
      <w:r>
        <w:rPr>
          <w:rFonts w:hint="eastAsia" w:ascii="仿宋_GB2312" w:hAnsi="仿宋_GB2312" w:eastAsia="仿宋_GB2312" w:cs="仿宋_GB2312"/>
          <w:color w:val="auto"/>
          <w:sz w:val="32"/>
          <w:szCs w:val="32"/>
          <w:highlight w:val="none"/>
          <w:lang w:val="en-US" w:eastAsia="zh-CN"/>
        </w:rPr>
        <w:t>县</w:t>
      </w:r>
      <w:r>
        <w:rPr>
          <w:rFonts w:hint="eastAsia" w:ascii="仿宋_GB2312" w:hAnsi="仿宋_GB2312" w:eastAsia="仿宋_GB2312" w:cs="仿宋_GB2312"/>
          <w:color w:val="auto"/>
          <w:sz w:val="32"/>
          <w:szCs w:val="32"/>
          <w:highlight w:val="none"/>
        </w:rPr>
        <w:t>委</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政府决策部署，加强财政资源统筹，增强重大</w:t>
      </w:r>
      <w:r>
        <w:rPr>
          <w:rFonts w:hint="eastAsia" w:ascii="仿宋_GB2312" w:hAnsi="仿宋_GB2312" w:eastAsia="仿宋_GB2312" w:cs="仿宋_GB2312"/>
          <w:color w:val="auto"/>
          <w:sz w:val="32"/>
          <w:szCs w:val="32"/>
          <w:highlight w:val="none"/>
          <w:lang w:eastAsia="zh-CN"/>
        </w:rPr>
        <w:t>项目建设</w:t>
      </w:r>
      <w:r>
        <w:rPr>
          <w:rFonts w:hint="eastAsia" w:ascii="仿宋_GB2312" w:hAnsi="仿宋_GB2312" w:eastAsia="仿宋_GB2312" w:cs="仿宋_GB2312"/>
          <w:color w:val="auto"/>
          <w:sz w:val="32"/>
          <w:szCs w:val="32"/>
          <w:highlight w:val="none"/>
        </w:rPr>
        <w:t>财力保障。坚持过</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紧日子</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思想，厉行节约，统筹兼顾，严控一般性支出，切实保障重点支出;深化预算管理制度改革，落实部门和单位预算管理主体责任，加快支出标准体系建设，严格预算编制管理，增强财政预算完整性;强化预算执行和绩效管理，推动预算绩效管理提质增效;加强风险防控，</w:t>
      </w:r>
      <w:r>
        <w:rPr>
          <w:rFonts w:hint="eastAsia" w:ascii="仿宋_GB2312" w:hAnsi="仿宋_GB2312" w:eastAsia="仿宋_GB2312" w:cs="仿宋_GB2312"/>
          <w:color w:val="auto"/>
          <w:sz w:val="32"/>
          <w:szCs w:val="32"/>
          <w:highlight w:val="none"/>
          <w:lang w:eastAsia="zh-CN"/>
        </w:rPr>
        <w:t>防范化解</w:t>
      </w:r>
      <w:r>
        <w:rPr>
          <w:rFonts w:hint="eastAsia" w:ascii="仿宋_GB2312" w:hAnsi="仿宋_GB2312" w:eastAsia="仿宋_GB2312" w:cs="仿宋_GB2312"/>
          <w:color w:val="auto"/>
          <w:sz w:val="32"/>
          <w:szCs w:val="32"/>
          <w:highlight w:val="none"/>
        </w:rPr>
        <w:t>债务风险和财政运行风险，增强财政可持续性;改进预决算公开，提高预算管理信息化水平，以信息化推进预算管理现代化。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（二）</w:t>
      </w:r>
      <w:r>
        <w:rPr>
          <w:rFonts w:hint="eastAsia" w:ascii="楷体_GB2312" w:hAnsi="楷体_GB2312" w:eastAsia="楷体_GB2312" w:cs="楷体_GB2312"/>
          <w:color w:val="auto"/>
          <w:sz w:val="32"/>
          <w:szCs w:val="32"/>
          <w:highlight w:val="none"/>
          <w:lang w:eastAsia="zh-CN"/>
        </w:rPr>
        <w:t>预算编制的</w:t>
      </w:r>
      <w:r>
        <w:rPr>
          <w:rFonts w:hint="eastAsia" w:ascii="楷体_GB2312" w:hAnsi="楷体_GB2312" w:eastAsia="楷体_GB2312" w:cs="楷体_GB2312"/>
          <w:color w:val="auto"/>
          <w:sz w:val="32"/>
          <w:szCs w:val="32"/>
          <w:highlight w:val="none"/>
        </w:rPr>
        <w:t>基本原则</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 w:eastAsia="仿宋_GB2312" w:cs="仿宋"/>
          <w:b/>
          <w:bCs/>
          <w:color w:val="auto"/>
          <w:sz w:val="32"/>
          <w:szCs w:val="32"/>
          <w:highlight w:val="none"/>
        </w:rPr>
        <w:t>1.依法理财原则。</w:t>
      </w:r>
      <w:r>
        <w:rPr>
          <w:rFonts w:hint="eastAsia" w:ascii="仿宋_GB2312" w:hAnsi="仿宋" w:eastAsia="仿宋_GB2312" w:cs="仿宋"/>
          <w:color w:val="auto"/>
          <w:sz w:val="32"/>
          <w:szCs w:val="32"/>
          <w:highlight w:val="none"/>
        </w:rPr>
        <w:t>贯彻执行《预算法》</w:t>
      </w:r>
      <w:r>
        <w:rPr>
          <w:rFonts w:hint="eastAsia" w:ascii="仿宋_GB2312" w:hAnsi="仿宋" w:eastAsia="仿宋_GB2312" w:cs="仿宋"/>
          <w:color w:val="auto"/>
          <w:sz w:val="32"/>
          <w:szCs w:val="32"/>
          <w:highlight w:val="none"/>
          <w:lang w:val="en-US" w:eastAsia="zh-CN"/>
        </w:rPr>
        <w:t>及其</w:t>
      </w:r>
      <w:r>
        <w:rPr>
          <w:rFonts w:hint="eastAsia" w:ascii="仿宋_GB2312" w:hAnsi="仿宋" w:eastAsia="仿宋_GB2312" w:cs="仿宋"/>
          <w:color w:val="auto"/>
          <w:sz w:val="32"/>
          <w:szCs w:val="32"/>
          <w:highlight w:val="none"/>
        </w:rPr>
        <w:t>实施条例</w:t>
      </w:r>
      <w:r>
        <w:rPr>
          <w:rFonts w:hint="eastAsia" w:ascii="仿宋_GB2312" w:hAnsi="仿宋_GB2312" w:eastAsia="仿宋_GB2312" w:cs="仿宋_GB2312"/>
          <w:color w:val="auto"/>
          <w:sz w:val="32"/>
          <w:szCs w:val="32"/>
          <w:highlight w:val="none"/>
        </w:rPr>
        <w:t>，规范预算编制、执行、决算和监督行为，坚持铁律管财，按照公开、公正、透明的要求，做好202</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年部门预算编制工作。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2.厉行节约原则。</w:t>
      </w:r>
      <w:r>
        <w:rPr>
          <w:rFonts w:hint="eastAsia" w:ascii="仿宋_GB2312" w:hAnsi="仿宋_GB2312" w:eastAsia="仿宋_GB2312" w:cs="仿宋_GB2312"/>
          <w:bCs/>
          <w:color w:val="auto"/>
          <w:sz w:val="32"/>
          <w:szCs w:val="32"/>
          <w:highlight w:val="none"/>
        </w:rPr>
        <w:t>优化财政收支结构，</w:t>
      </w:r>
      <w:r>
        <w:rPr>
          <w:rFonts w:hint="eastAsia" w:ascii="仿宋_GB2312" w:hAnsi="仿宋_GB2312" w:eastAsia="仿宋_GB2312" w:cs="仿宋_GB2312"/>
          <w:color w:val="auto"/>
          <w:sz w:val="32"/>
          <w:szCs w:val="32"/>
          <w:highlight w:val="none"/>
        </w:rPr>
        <w:t>加大预算收入统筹力度</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bCs/>
          <w:color w:val="auto"/>
          <w:sz w:val="32"/>
          <w:szCs w:val="32"/>
          <w:highlight w:val="none"/>
        </w:rPr>
        <w:t>着力保障和改善民生，牢固树立过“紧日子”的思想，除法定支出和政策性支出按标准安排外，大</w:t>
      </w:r>
      <w:r>
        <w:rPr>
          <w:rFonts w:hint="eastAsia" w:ascii="仿宋_GB2312" w:hAnsi="仿宋_GB2312" w:eastAsia="仿宋_GB2312" w:cs="仿宋_GB2312"/>
          <w:color w:val="auto"/>
          <w:sz w:val="32"/>
          <w:szCs w:val="32"/>
          <w:highlight w:val="none"/>
        </w:rPr>
        <w:t>力压缩“三公”经费等一般性支出，努力降低行政运行成本。</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3.讲求绩效原则。</w:t>
      </w:r>
      <w:r>
        <w:rPr>
          <w:rFonts w:hint="eastAsia" w:ascii="仿宋_GB2312" w:hAnsi="仿宋_GB2312" w:eastAsia="仿宋_GB2312" w:cs="仿宋_GB2312"/>
          <w:color w:val="auto"/>
          <w:sz w:val="32"/>
          <w:szCs w:val="32"/>
          <w:highlight w:val="none"/>
        </w:rPr>
        <w:t>推进预算和绩效管理一体化，探索运用成本效益分析等方法开展事前绩效评估，严格项目预算绩效目标管理，全面实行预算绩效目标和执行进度双监控，加大部门预算执行情况的跟踪问效，加强绩效评价结果应用，</w:t>
      </w:r>
      <w:r>
        <w:rPr>
          <w:rFonts w:hint="eastAsia" w:ascii="仿宋_GB2312" w:hAnsi="仿宋_GB2312" w:eastAsia="仿宋_GB2312" w:cs="仿宋_GB2312"/>
          <w:color w:val="auto"/>
          <w:sz w:val="32"/>
          <w:szCs w:val="32"/>
          <w:highlight w:val="none"/>
          <w:lang w:val="en-US" w:eastAsia="zh-CN"/>
        </w:rPr>
        <w:t>完善</w:t>
      </w:r>
      <w:r>
        <w:rPr>
          <w:rFonts w:hint="eastAsia" w:ascii="仿宋_GB2312" w:hAnsi="仿宋_GB2312" w:eastAsia="仿宋_GB2312" w:cs="仿宋_GB2312"/>
          <w:color w:val="auto"/>
          <w:sz w:val="32"/>
          <w:szCs w:val="32"/>
          <w:highlight w:val="none"/>
        </w:rPr>
        <w:t>以评价结果指导预算的制度。</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4.精准规范原则。</w:t>
      </w:r>
      <w:r>
        <w:rPr>
          <w:rFonts w:hint="eastAsia" w:ascii="仿宋_GB2312" w:hAnsi="仿宋_GB2312" w:eastAsia="仿宋_GB2312" w:cs="仿宋_GB2312"/>
          <w:color w:val="auto"/>
          <w:sz w:val="32"/>
          <w:szCs w:val="32"/>
          <w:highlight w:val="none"/>
        </w:rPr>
        <w:t>做到预算口径精准、项目编制精准、测算数据精准，按照规范程序和标准，把预算工作做深做细做透，全方面考虑财政收支、资产配置、政府采购、政府购买服务等需求，建立一本预算管全年的理念。</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5.项目支撑原则。</w:t>
      </w:r>
      <w:r>
        <w:rPr>
          <w:rFonts w:hint="eastAsia" w:ascii="仿宋_GB2312" w:hAnsi="仿宋_GB2312" w:eastAsia="仿宋_GB2312" w:cs="仿宋_GB2312"/>
          <w:color w:val="auto"/>
          <w:sz w:val="32"/>
          <w:szCs w:val="32"/>
          <w:highlight w:val="none"/>
        </w:rPr>
        <w:t>将项目作为部门和单位预算管理的基本单元，预算支出全部以项目形式纳入预算项目库，实施全生命周期管理。加强项目建设年限与预算年度的有效衔接，严格按项目实施规划和年度投资计划分年度申请和安排预算资金</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（三）预算草案</w:t>
      </w:r>
    </w:p>
    <w:p>
      <w:pPr>
        <w:keepNext w:val="0"/>
        <w:keepLines w:val="0"/>
        <w:pageBreakBefore w:val="0"/>
        <w:kinsoku/>
        <w:wordWrap/>
        <w:overflowPunct/>
        <w:topLinePunct w:val="0"/>
        <w:autoSpaceDE/>
        <w:autoSpaceDN/>
        <w:bidi w:val="0"/>
        <w:snapToGrid w:val="0"/>
        <w:spacing w:line="560" w:lineRule="exact"/>
        <w:ind w:firstLine="643" w:firstLineChars="200"/>
        <w:textAlignment w:val="auto"/>
        <w:rPr>
          <w:rFonts w:ascii="仿宋_GB2312" w:hAnsi="仿宋" w:eastAsia="仿宋_GB2312" w:cs="仿宋"/>
          <w:b/>
          <w:bCs/>
          <w:color w:val="auto"/>
          <w:sz w:val="32"/>
          <w:szCs w:val="32"/>
          <w:highlight w:val="none"/>
        </w:rPr>
      </w:pPr>
      <w:r>
        <w:rPr>
          <w:rFonts w:hint="eastAsia" w:ascii="仿宋_GB2312" w:hAnsi="仿宋" w:eastAsia="仿宋_GB2312" w:cs="仿宋"/>
          <w:b/>
          <w:bCs/>
          <w:color w:val="auto"/>
          <w:sz w:val="32"/>
          <w:szCs w:val="32"/>
          <w:highlight w:val="none"/>
        </w:rPr>
        <w:t>1、一般公共预算草案</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auto"/>
          <w:kern w:val="0"/>
          <w:sz w:val="32"/>
          <w:szCs w:val="32"/>
          <w:highlight w:val="none"/>
        </w:rPr>
      </w:pPr>
      <w:r>
        <w:rPr>
          <w:rFonts w:hint="eastAsia" w:ascii="仿宋_GB2312" w:hAnsi="楷体" w:eastAsia="仿宋_GB2312"/>
          <w:color w:val="auto"/>
          <w:kern w:val="0"/>
          <w:sz w:val="32"/>
          <w:szCs w:val="32"/>
          <w:highlight w:val="none"/>
        </w:rPr>
        <w:t>（1）一般公共预算收入。</w:t>
      </w:r>
      <w:r>
        <w:rPr>
          <w:rFonts w:hint="eastAsia" w:ascii="仿宋_GB2312" w:eastAsia="仿宋_GB2312"/>
          <w:color w:val="auto"/>
          <w:kern w:val="0"/>
          <w:sz w:val="32"/>
          <w:szCs w:val="32"/>
          <w:highlight w:val="none"/>
        </w:rPr>
        <w:t>地方一般公共预算收入目标为</w:t>
      </w:r>
      <w:r>
        <w:rPr>
          <w:rFonts w:hint="eastAsia" w:ascii="仿宋_GB2312" w:eastAsia="仿宋_GB2312"/>
          <w:color w:val="auto"/>
          <w:kern w:val="0"/>
          <w:sz w:val="32"/>
          <w:szCs w:val="32"/>
          <w:highlight w:val="none"/>
          <w:lang w:val="en-US" w:eastAsia="zh-CN"/>
        </w:rPr>
        <w:t>70000万</w:t>
      </w:r>
      <w:r>
        <w:rPr>
          <w:rFonts w:hint="eastAsia" w:ascii="仿宋_GB2312" w:eastAsia="仿宋_GB2312"/>
          <w:color w:val="auto"/>
          <w:kern w:val="0"/>
          <w:sz w:val="32"/>
          <w:szCs w:val="32"/>
          <w:highlight w:val="none"/>
        </w:rPr>
        <w:t>元，比202</w:t>
      </w:r>
      <w:r>
        <w:rPr>
          <w:rFonts w:hint="eastAsia" w:ascii="仿宋_GB2312" w:eastAsia="仿宋_GB2312"/>
          <w:color w:val="auto"/>
          <w:kern w:val="0"/>
          <w:sz w:val="32"/>
          <w:szCs w:val="32"/>
          <w:highlight w:val="none"/>
          <w:lang w:val="en-US" w:eastAsia="zh-CN"/>
        </w:rPr>
        <w:t>1完成数59028万</w:t>
      </w:r>
      <w:r>
        <w:rPr>
          <w:rFonts w:hint="eastAsia" w:ascii="仿宋_GB2312" w:eastAsia="仿宋_GB2312"/>
          <w:color w:val="auto"/>
          <w:kern w:val="0"/>
          <w:sz w:val="32"/>
          <w:szCs w:val="32"/>
          <w:highlight w:val="none"/>
        </w:rPr>
        <w:t>元增长</w:t>
      </w:r>
      <w:r>
        <w:rPr>
          <w:rFonts w:hint="eastAsia" w:ascii="仿宋_GB2312" w:eastAsia="仿宋_GB2312"/>
          <w:color w:val="auto"/>
          <w:kern w:val="0"/>
          <w:sz w:val="32"/>
          <w:szCs w:val="32"/>
          <w:highlight w:val="none"/>
          <w:lang w:val="en-US" w:eastAsia="zh-CN"/>
        </w:rPr>
        <w:t>18.6</w:t>
      </w:r>
      <w:r>
        <w:rPr>
          <w:rFonts w:hint="eastAsia" w:ascii="仿宋_GB2312" w:eastAsia="仿宋_GB2312"/>
          <w:color w:val="auto"/>
          <w:kern w:val="0"/>
          <w:sz w:val="32"/>
          <w:szCs w:val="32"/>
          <w:highlight w:val="none"/>
        </w:rPr>
        <w:t>%，其中税收收入</w:t>
      </w:r>
      <w:r>
        <w:rPr>
          <w:rFonts w:hint="eastAsia" w:ascii="仿宋_GB2312" w:eastAsia="仿宋_GB2312"/>
          <w:color w:val="auto"/>
          <w:kern w:val="0"/>
          <w:sz w:val="32"/>
          <w:szCs w:val="32"/>
          <w:highlight w:val="none"/>
          <w:lang w:val="en-US" w:eastAsia="zh-CN"/>
        </w:rPr>
        <w:t>53000万</w:t>
      </w:r>
      <w:r>
        <w:rPr>
          <w:rFonts w:hint="eastAsia" w:ascii="仿宋_GB2312" w:eastAsia="仿宋_GB2312"/>
          <w:color w:val="auto"/>
          <w:kern w:val="0"/>
          <w:sz w:val="32"/>
          <w:szCs w:val="32"/>
          <w:highlight w:val="none"/>
        </w:rPr>
        <w:t>元，非税收入</w:t>
      </w:r>
      <w:r>
        <w:rPr>
          <w:rFonts w:hint="eastAsia" w:ascii="仿宋_GB2312" w:eastAsia="仿宋_GB2312"/>
          <w:color w:val="auto"/>
          <w:kern w:val="0"/>
          <w:sz w:val="32"/>
          <w:szCs w:val="32"/>
          <w:highlight w:val="none"/>
          <w:lang w:val="en-US" w:eastAsia="zh-CN"/>
        </w:rPr>
        <w:t>17000万</w:t>
      </w:r>
      <w:r>
        <w:rPr>
          <w:rFonts w:hint="eastAsia" w:ascii="仿宋_GB2312" w:eastAsia="仿宋_GB2312"/>
          <w:color w:val="auto"/>
          <w:kern w:val="0"/>
          <w:sz w:val="32"/>
          <w:szCs w:val="32"/>
          <w:highlight w:val="none"/>
        </w:rPr>
        <w:t>元，税收占比7</w:t>
      </w:r>
      <w:r>
        <w:rPr>
          <w:rFonts w:hint="eastAsia" w:ascii="仿宋_GB2312" w:eastAsia="仿宋_GB2312"/>
          <w:color w:val="auto"/>
          <w:kern w:val="0"/>
          <w:sz w:val="32"/>
          <w:szCs w:val="32"/>
          <w:highlight w:val="none"/>
          <w:lang w:val="en-US" w:eastAsia="zh-CN"/>
        </w:rPr>
        <w:t>5.7</w:t>
      </w:r>
      <w:r>
        <w:rPr>
          <w:rFonts w:hint="eastAsia" w:ascii="仿宋_GB2312" w:eastAsia="仿宋_GB2312"/>
          <w:color w:val="auto"/>
          <w:kern w:val="0"/>
          <w:sz w:val="32"/>
          <w:szCs w:val="32"/>
          <w:highlight w:val="none"/>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黑体" w:eastAsia="仿宋_GB2312"/>
          <w:color w:val="auto"/>
          <w:sz w:val="32"/>
          <w:szCs w:val="32"/>
          <w:highlight w:val="none"/>
        </w:rPr>
      </w:pPr>
      <w:r>
        <w:rPr>
          <w:rFonts w:hint="eastAsia" w:ascii="仿宋_GB2312" w:hAnsi="宋体" w:eastAsia="仿宋_GB2312"/>
          <w:color w:val="auto"/>
          <w:sz w:val="32"/>
          <w:szCs w:val="32"/>
          <w:highlight w:val="none"/>
        </w:rPr>
        <w:t>（2）一般公共预算支出。</w:t>
      </w:r>
      <w:r>
        <w:rPr>
          <w:rFonts w:hint="eastAsia" w:ascii="仿宋_GB2312" w:eastAsia="仿宋_GB2312"/>
          <w:color w:val="auto"/>
          <w:sz w:val="32"/>
          <w:szCs w:val="32"/>
          <w:highlight w:val="none"/>
        </w:rPr>
        <w:t>一般公共预算支出为</w:t>
      </w:r>
      <w:r>
        <w:rPr>
          <w:rFonts w:hint="eastAsia" w:ascii="仿宋_GB2312" w:eastAsia="仿宋_GB2312"/>
          <w:color w:val="auto"/>
          <w:sz w:val="32"/>
          <w:szCs w:val="32"/>
          <w:highlight w:val="none"/>
          <w:lang w:val="en-US" w:eastAsia="zh-CN"/>
        </w:rPr>
        <w:t>314089万</w:t>
      </w:r>
      <w:r>
        <w:rPr>
          <w:rFonts w:hint="eastAsia" w:ascii="仿宋_GB2312" w:eastAsia="仿宋_GB2312"/>
          <w:color w:val="auto"/>
          <w:sz w:val="32"/>
          <w:szCs w:val="32"/>
          <w:highlight w:val="none"/>
        </w:rPr>
        <w:t>元，同比</w:t>
      </w:r>
      <w:r>
        <w:rPr>
          <w:rFonts w:hint="eastAsia" w:ascii="仿宋_GB2312" w:eastAsia="仿宋_GB2312"/>
          <w:color w:val="auto"/>
          <w:sz w:val="32"/>
          <w:szCs w:val="32"/>
          <w:highlight w:val="none"/>
          <w:lang w:val="en-US" w:eastAsia="zh-CN"/>
        </w:rPr>
        <w:t>增支20370</w:t>
      </w:r>
      <w:r>
        <w:rPr>
          <w:rFonts w:hint="eastAsia" w:ascii="仿宋_GB2312" w:eastAsia="仿宋_GB2312"/>
          <w:color w:val="auto"/>
          <w:sz w:val="32"/>
          <w:szCs w:val="32"/>
          <w:highlight w:val="none"/>
        </w:rPr>
        <w:t>万元</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增长6.9%</w:t>
      </w:r>
      <w:r>
        <w:rPr>
          <w:rFonts w:hint="eastAsia" w:ascii="仿宋_GB2312" w:eastAsia="仿宋_GB2312"/>
          <w:color w:val="auto"/>
          <w:sz w:val="32"/>
          <w:szCs w:val="32"/>
          <w:highlight w:val="none"/>
        </w:rPr>
        <w:t>。主要科</w:t>
      </w:r>
      <w:r>
        <w:rPr>
          <w:rFonts w:hint="eastAsia" w:ascii="仿宋_GB2312" w:hAnsi="黑体" w:eastAsia="仿宋_GB2312"/>
          <w:color w:val="auto"/>
          <w:sz w:val="32"/>
          <w:szCs w:val="32"/>
          <w:highlight w:val="none"/>
        </w:rPr>
        <w:t>目预算安排情况：</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黑体" w:eastAsia="仿宋_GB2312"/>
          <w:color w:val="auto"/>
          <w:sz w:val="32"/>
          <w:szCs w:val="32"/>
          <w:highlight w:val="none"/>
        </w:rPr>
      </w:pPr>
      <w:r>
        <w:rPr>
          <w:rFonts w:hint="eastAsia" w:ascii="仿宋_GB2312" w:hAnsi="黑体" w:eastAsia="仿宋_GB2312"/>
          <w:color w:val="auto"/>
          <w:sz w:val="32"/>
          <w:szCs w:val="32"/>
          <w:highlight w:val="none"/>
        </w:rPr>
        <w:t>一般公共服务支出</w:t>
      </w:r>
      <w:r>
        <w:rPr>
          <w:rFonts w:hint="eastAsia" w:ascii="仿宋_GB2312" w:hAnsi="黑体" w:eastAsia="仿宋_GB2312"/>
          <w:color w:val="auto"/>
          <w:sz w:val="32"/>
          <w:szCs w:val="32"/>
          <w:highlight w:val="none"/>
          <w:lang w:val="en-US" w:eastAsia="zh-CN"/>
        </w:rPr>
        <w:t>63344</w:t>
      </w:r>
      <w:r>
        <w:rPr>
          <w:rFonts w:hint="eastAsia" w:ascii="仿宋_GB2312" w:hAnsi="黑体" w:eastAsia="仿宋_GB2312"/>
          <w:color w:val="auto"/>
          <w:sz w:val="32"/>
          <w:szCs w:val="32"/>
          <w:highlight w:val="none"/>
          <w:lang w:eastAsia="zh-CN"/>
        </w:rPr>
        <w:t>万元</w:t>
      </w:r>
      <w:r>
        <w:rPr>
          <w:rFonts w:hint="eastAsia" w:ascii="仿宋_GB2312" w:hAnsi="黑体" w:eastAsia="仿宋_GB2312"/>
          <w:color w:val="auto"/>
          <w:sz w:val="32"/>
          <w:szCs w:val="32"/>
          <w:highlight w:val="none"/>
        </w:rPr>
        <w:t>，剔除省专款（下同）同比</w:t>
      </w:r>
      <w:r>
        <w:rPr>
          <w:rFonts w:hint="eastAsia" w:ascii="仿宋_GB2312" w:hAnsi="黑体" w:eastAsia="仿宋_GB2312"/>
          <w:color w:val="auto"/>
          <w:sz w:val="32"/>
          <w:szCs w:val="32"/>
          <w:highlight w:val="none"/>
          <w:lang w:val="en-US" w:eastAsia="zh-CN"/>
        </w:rPr>
        <w:t>增长42.9</w:t>
      </w:r>
      <w:r>
        <w:rPr>
          <w:rFonts w:hint="eastAsia" w:ascii="仿宋_GB2312" w:hAnsi="黑体" w:eastAsia="仿宋_GB2312"/>
          <w:color w:val="auto"/>
          <w:sz w:val="32"/>
          <w:szCs w:val="32"/>
          <w:highlight w:val="none"/>
        </w:rPr>
        <w:t>%；</w:t>
      </w:r>
      <w:r>
        <w:rPr>
          <w:rFonts w:hint="eastAsia" w:ascii="仿宋_GB2312" w:hAnsi="黑体" w:eastAsia="仿宋_GB2312"/>
          <w:color w:val="auto"/>
          <w:sz w:val="32"/>
          <w:szCs w:val="32"/>
          <w:highlight w:val="none"/>
          <w:lang w:eastAsia="zh-CN"/>
        </w:rPr>
        <w:t>国防支出</w:t>
      </w:r>
      <w:r>
        <w:rPr>
          <w:rFonts w:hint="eastAsia" w:ascii="仿宋_GB2312" w:hAnsi="黑体" w:eastAsia="仿宋_GB2312"/>
          <w:color w:val="auto"/>
          <w:sz w:val="32"/>
          <w:szCs w:val="32"/>
          <w:highlight w:val="none"/>
          <w:lang w:val="en-US" w:eastAsia="zh-CN"/>
        </w:rPr>
        <w:t>111万元，同比增长38.7%，主要是民兵训练装备支出增加；</w:t>
      </w:r>
      <w:r>
        <w:rPr>
          <w:rFonts w:hint="eastAsia" w:ascii="仿宋_GB2312" w:hAnsi="黑体" w:eastAsia="仿宋_GB2312"/>
          <w:color w:val="auto"/>
          <w:sz w:val="32"/>
          <w:szCs w:val="32"/>
          <w:highlight w:val="none"/>
        </w:rPr>
        <w:t>公共安全支出9</w:t>
      </w:r>
      <w:r>
        <w:rPr>
          <w:rFonts w:hint="eastAsia" w:ascii="仿宋_GB2312" w:hAnsi="黑体" w:eastAsia="仿宋_GB2312"/>
          <w:color w:val="auto"/>
          <w:sz w:val="32"/>
          <w:szCs w:val="32"/>
          <w:highlight w:val="none"/>
          <w:lang w:val="en-US" w:eastAsia="zh-CN"/>
        </w:rPr>
        <w:t>951</w:t>
      </w:r>
      <w:r>
        <w:rPr>
          <w:rFonts w:hint="eastAsia" w:ascii="仿宋_GB2312" w:hAnsi="黑体" w:eastAsia="仿宋_GB2312"/>
          <w:color w:val="auto"/>
          <w:sz w:val="32"/>
          <w:szCs w:val="32"/>
          <w:highlight w:val="none"/>
        </w:rPr>
        <w:t>万元，同比增长</w:t>
      </w:r>
      <w:r>
        <w:rPr>
          <w:rFonts w:hint="eastAsia" w:ascii="仿宋_GB2312" w:hAnsi="黑体" w:eastAsia="仿宋_GB2312"/>
          <w:color w:val="auto"/>
          <w:sz w:val="32"/>
          <w:szCs w:val="32"/>
          <w:highlight w:val="none"/>
          <w:lang w:val="en-US" w:eastAsia="zh-CN"/>
        </w:rPr>
        <w:t>1.4</w:t>
      </w:r>
      <w:r>
        <w:rPr>
          <w:rFonts w:hint="eastAsia" w:ascii="仿宋_GB2312" w:hAnsi="黑体" w:eastAsia="仿宋_GB2312"/>
          <w:color w:val="auto"/>
          <w:sz w:val="32"/>
          <w:szCs w:val="32"/>
          <w:highlight w:val="none"/>
        </w:rPr>
        <w:t>%；教育支出</w:t>
      </w:r>
      <w:r>
        <w:rPr>
          <w:rFonts w:hint="eastAsia" w:ascii="仿宋_GB2312" w:hAnsi="黑体" w:eastAsia="仿宋_GB2312"/>
          <w:color w:val="auto"/>
          <w:sz w:val="32"/>
          <w:szCs w:val="32"/>
          <w:highlight w:val="none"/>
          <w:lang w:val="en-US" w:eastAsia="zh-CN"/>
        </w:rPr>
        <w:t>52365</w:t>
      </w:r>
      <w:r>
        <w:rPr>
          <w:rFonts w:hint="eastAsia" w:ascii="仿宋_GB2312" w:hAnsi="黑体" w:eastAsia="仿宋_GB2312"/>
          <w:color w:val="auto"/>
          <w:sz w:val="32"/>
          <w:szCs w:val="32"/>
          <w:highlight w:val="none"/>
          <w:lang w:eastAsia="zh-CN"/>
        </w:rPr>
        <w:t>万元</w:t>
      </w:r>
      <w:r>
        <w:rPr>
          <w:rFonts w:hint="eastAsia" w:ascii="仿宋_GB2312" w:hAnsi="黑体" w:eastAsia="仿宋_GB2312"/>
          <w:color w:val="auto"/>
          <w:sz w:val="32"/>
          <w:szCs w:val="32"/>
          <w:highlight w:val="none"/>
        </w:rPr>
        <w:t>，同比增长</w:t>
      </w:r>
      <w:r>
        <w:rPr>
          <w:rFonts w:hint="eastAsia" w:ascii="仿宋_GB2312" w:hAnsi="黑体" w:eastAsia="仿宋_GB2312"/>
          <w:color w:val="auto"/>
          <w:sz w:val="32"/>
          <w:szCs w:val="32"/>
          <w:highlight w:val="none"/>
          <w:lang w:val="en-US" w:eastAsia="zh-CN"/>
        </w:rPr>
        <w:t>3.7</w:t>
      </w:r>
      <w:r>
        <w:rPr>
          <w:rFonts w:hint="eastAsia" w:ascii="仿宋_GB2312" w:hAnsi="黑体" w:eastAsia="仿宋_GB2312"/>
          <w:color w:val="auto"/>
          <w:sz w:val="32"/>
          <w:szCs w:val="32"/>
          <w:highlight w:val="none"/>
        </w:rPr>
        <w:t>%；科学技术支出2</w:t>
      </w:r>
      <w:r>
        <w:rPr>
          <w:rFonts w:hint="eastAsia" w:ascii="仿宋_GB2312" w:hAnsi="黑体" w:eastAsia="仿宋_GB2312"/>
          <w:color w:val="auto"/>
          <w:sz w:val="32"/>
          <w:szCs w:val="32"/>
          <w:highlight w:val="none"/>
          <w:lang w:val="en-US" w:eastAsia="zh-CN"/>
        </w:rPr>
        <w:t>492</w:t>
      </w:r>
      <w:r>
        <w:rPr>
          <w:rFonts w:hint="eastAsia" w:ascii="仿宋_GB2312" w:hAnsi="黑体" w:eastAsia="仿宋_GB2312"/>
          <w:color w:val="auto"/>
          <w:sz w:val="32"/>
          <w:szCs w:val="32"/>
          <w:highlight w:val="none"/>
        </w:rPr>
        <w:t>万元，同比</w:t>
      </w:r>
      <w:r>
        <w:rPr>
          <w:rFonts w:hint="eastAsia" w:ascii="仿宋_GB2312" w:hAnsi="黑体" w:eastAsia="仿宋_GB2312"/>
          <w:color w:val="auto"/>
          <w:sz w:val="32"/>
          <w:szCs w:val="32"/>
          <w:highlight w:val="none"/>
          <w:lang w:val="en-US" w:eastAsia="zh-CN"/>
        </w:rPr>
        <w:t>增长4</w:t>
      </w:r>
      <w:r>
        <w:rPr>
          <w:rFonts w:hint="eastAsia" w:ascii="仿宋_GB2312" w:hAnsi="黑体" w:eastAsia="仿宋_GB2312"/>
          <w:color w:val="auto"/>
          <w:sz w:val="32"/>
          <w:szCs w:val="32"/>
          <w:highlight w:val="none"/>
        </w:rPr>
        <w:t>%；文化旅游体育与传媒支出</w:t>
      </w:r>
      <w:r>
        <w:rPr>
          <w:rFonts w:hint="eastAsia" w:ascii="仿宋_GB2312" w:hAnsi="黑体" w:eastAsia="仿宋_GB2312"/>
          <w:color w:val="auto"/>
          <w:sz w:val="32"/>
          <w:szCs w:val="32"/>
          <w:highlight w:val="none"/>
          <w:lang w:val="en-US" w:eastAsia="zh-CN"/>
        </w:rPr>
        <w:t>4041</w:t>
      </w:r>
      <w:r>
        <w:rPr>
          <w:rFonts w:hint="eastAsia" w:ascii="仿宋_GB2312" w:hAnsi="黑体" w:eastAsia="仿宋_GB2312"/>
          <w:color w:val="auto"/>
          <w:sz w:val="32"/>
          <w:szCs w:val="32"/>
          <w:highlight w:val="none"/>
        </w:rPr>
        <w:t>万元，同比</w:t>
      </w:r>
      <w:r>
        <w:rPr>
          <w:rFonts w:hint="eastAsia" w:ascii="仿宋_GB2312" w:hAnsi="黑体" w:eastAsia="仿宋_GB2312"/>
          <w:color w:val="auto"/>
          <w:sz w:val="32"/>
          <w:szCs w:val="32"/>
          <w:highlight w:val="none"/>
          <w:lang w:val="en-US" w:eastAsia="zh-CN"/>
        </w:rPr>
        <w:t>增长5.2</w:t>
      </w:r>
      <w:r>
        <w:rPr>
          <w:rFonts w:hint="eastAsia" w:ascii="仿宋_GB2312" w:hAnsi="黑体" w:eastAsia="仿宋_GB2312"/>
          <w:color w:val="auto"/>
          <w:sz w:val="32"/>
          <w:szCs w:val="32"/>
          <w:highlight w:val="none"/>
        </w:rPr>
        <w:t>%；社会保障和就业支出</w:t>
      </w:r>
      <w:r>
        <w:rPr>
          <w:rFonts w:hint="eastAsia" w:ascii="仿宋_GB2312" w:hAnsi="黑体" w:eastAsia="仿宋_GB2312"/>
          <w:color w:val="auto"/>
          <w:sz w:val="32"/>
          <w:szCs w:val="32"/>
          <w:highlight w:val="none"/>
          <w:lang w:val="en-US" w:eastAsia="zh-CN"/>
        </w:rPr>
        <w:t>41698</w:t>
      </w:r>
      <w:r>
        <w:rPr>
          <w:rFonts w:hint="eastAsia" w:ascii="仿宋_GB2312" w:hAnsi="黑体" w:eastAsia="仿宋_GB2312"/>
          <w:color w:val="auto"/>
          <w:sz w:val="32"/>
          <w:szCs w:val="32"/>
          <w:highlight w:val="none"/>
          <w:lang w:eastAsia="zh-CN"/>
        </w:rPr>
        <w:t>万元</w:t>
      </w:r>
      <w:r>
        <w:rPr>
          <w:rFonts w:hint="eastAsia" w:ascii="仿宋_GB2312" w:hAnsi="黑体" w:eastAsia="仿宋_GB2312"/>
          <w:color w:val="auto"/>
          <w:sz w:val="32"/>
          <w:szCs w:val="32"/>
          <w:highlight w:val="none"/>
        </w:rPr>
        <w:t>，</w:t>
      </w:r>
      <w:r>
        <w:rPr>
          <w:rFonts w:hint="eastAsia" w:ascii="仿宋_GB2312" w:hAnsi="黑体" w:eastAsia="仿宋_GB2312"/>
          <w:color w:val="auto"/>
          <w:sz w:val="32"/>
          <w:szCs w:val="32"/>
          <w:highlight w:val="none"/>
          <w:lang w:val="en-US" w:eastAsia="zh-CN"/>
        </w:rPr>
        <w:t>与同期持平</w:t>
      </w:r>
      <w:r>
        <w:rPr>
          <w:rFonts w:hint="eastAsia" w:ascii="仿宋_GB2312" w:hAnsi="黑体" w:eastAsia="仿宋_GB2312"/>
          <w:color w:val="auto"/>
          <w:sz w:val="32"/>
          <w:szCs w:val="32"/>
          <w:highlight w:val="none"/>
        </w:rPr>
        <w:t>；卫生健康支出</w:t>
      </w:r>
      <w:r>
        <w:rPr>
          <w:rFonts w:hint="eastAsia" w:ascii="仿宋_GB2312" w:hAnsi="黑体" w:eastAsia="仿宋_GB2312"/>
          <w:color w:val="auto"/>
          <w:sz w:val="32"/>
          <w:szCs w:val="32"/>
          <w:highlight w:val="none"/>
          <w:lang w:val="en-US" w:eastAsia="zh-CN"/>
        </w:rPr>
        <w:t>46885</w:t>
      </w:r>
      <w:r>
        <w:rPr>
          <w:rFonts w:hint="eastAsia" w:ascii="仿宋_GB2312" w:hAnsi="黑体" w:eastAsia="仿宋_GB2312"/>
          <w:color w:val="auto"/>
          <w:sz w:val="32"/>
          <w:szCs w:val="32"/>
          <w:highlight w:val="none"/>
          <w:lang w:eastAsia="zh-CN"/>
        </w:rPr>
        <w:t>万元</w:t>
      </w:r>
      <w:r>
        <w:rPr>
          <w:rFonts w:hint="eastAsia" w:ascii="仿宋_GB2312" w:hAnsi="黑体" w:eastAsia="仿宋_GB2312"/>
          <w:color w:val="auto"/>
          <w:sz w:val="32"/>
          <w:szCs w:val="32"/>
          <w:highlight w:val="none"/>
        </w:rPr>
        <w:t>，同比增长</w:t>
      </w:r>
      <w:r>
        <w:rPr>
          <w:rFonts w:hint="eastAsia" w:ascii="仿宋_GB2312" w:hAnsi="黑体" w:eastAsia="仿宋_GB2312"/>
          <w:color w:val="auto"/>
          <w:sz w:val="32"/>
          <w:szCs w:val="32"/>
          <w:highlight w:val="none"/>
          <w:lang w:val="en-US" w:eastAsia="zh-CN"/>
        </w:rPr>
        <w:t>30.9</w:t>
      </w:r>
      <w:r>
        <w:rPr>
          <w:rFonts w:hint="eastAsia" w:ascii="仿宋_GB2312" w:hAnsi="黑体" w:eastAsia="仿宋_GB2312"/>
          <w:color w:val="auto"/>
          <w:sz w:val="32"/>
          <w:szCs w:val="32"/>
          <w:highlight w:val="none"/>
        </w:rPr>
        <w:t>%</w:t>
      </w:r>
      <w:r>
        <w:rPr>
          <w:rFonts w:hint="eastAsia" w:ascii="仿宋_GB2312" w:hAnsi="黑体" w:eastAsia="仿宋_GB2312"/>
          <w:color w:val="auto"/>
          <w:sz w:val="32"/>
          <w:szCs w:val="32"/>
          <w:highlight w:val="none"/>
          <w:lang w:eastAsia="zh-CN"/>
        </w:rPr>
        <w:t>，</w:t>
      </w:r>
      <w:r>
        <w:rPr>
          <w:rFonts w:hint="eastAsia" w:ascii="仿宋_GB2312" w:hAnsi="黑体" w:eastAsia="仿宋_GB2312"/>
          <w:color w:val="auto"/>
          <w:sz w:val="32"/>
          <w:szCs w:val="32"/>
          <w:highlight w:val="none"/>
          <w:lang w:val="en-US" w:eastAsia="zh-CN"/>
        </w:rPr>
        <w:t>主要提前下达医疗补助资金增加</w:t>
      </w:r>
      <w:r>
        <w:rPr>
          <w:rFonts w:hint="eastAsia" w:ascii="仿宋_GB2312" w:hAnsi="黑体" w:eastAsia="仿宋_GB2312"/>
          <w:color w:val="auto"/>
          <w:sz w:val="32"/>
          <w:szCs w:val="32"/>
          <w:highlight w:val="none"/>
        </w:rPr>
        <w:t>；节能环保支出</w:t>
      </w:r>
      <w:r>
        <w:rPr>
          <w:rFonts w:hint="eastAsia" w:ascii="仿宋_GB2312" w:hAnsi="黑体" w:eastAsia="仿宋_GB2312"/>
          <w:color w:val="auto"/>
          <w:sz w:val="32"/>
          <w:szCs w:val="32"/>
          <w:highlight w:val="none"/>
          <w:lang w:val="en-US" w:eastAsia="zh-CN"/>
        </w:rPr>
        <w:t>3228</w:t>
      </w:r>
      <w:r>
        <w:rPr>
          <w:rFonts w:hint="eastAsia" w:ascii="仿宋_GB2312" w:hAnsi="黑体" w:eastAsia="仿宋_GB2312"/>
          <w:color w:val="auto"/>
          <w:sz w:val="32"/>
          <w:szCs w:val="32"/>
          <w:highlight w:val="none"/>
        </w:rPr>
        <w:t>万元，同比下降</w:t>
      </w:r>
      <w:r>
        <w:rPr>
          <w:rFonts w:hint="eastAsia" w:ascii="仿宋_GB2312" w:hAnsi="黑体" w:eastAsia="仿宋_GB2312"/>
          <w:color w:val="auto"/>
          <w:sz w:val="32"/>
          <w:szCs w:val="32"/>
          <w:highlight w:val="none"/>
          <w:lang w:val="en-US" w:eastAsia="zh-CN"/>
        </w:rPr>
        <w:t>3.9</w:t>
      </w:r>
      <w:r>
        <w:rPr>
          <w:rFonts w:hint="eastAsia" w:ascii="仿宋_GB2312" w:hAnsi="黑体" w:eastAsia="仿宋_GB2312"/>
          <w:color w:val="auto"/>
          <w:sz w:val="32"/>
          <w:szCs w:val="32"/>
          <w:highlight w:val="none"/>
        </w:rPr>
        <w:t>%</w:t>
      </w:r>
      <w:r>
        <w:rPr>
          <w:rFonts w:hint="eastAsia" w:ascii="仿宋_GB2312" w:hAnsi="黑体" w:eastAsia="仿宋_GB2312"/>
          <w:color w:val="auto"/>
          <w:sz w:val="32"/>
          <w:szCs w:val="32"/>
          <w:highlight w:val="none"/>
          <w:lang w:eastAsia="zh-CN"/>
        </w:rPr>
        <w:t>，主要是专款减少</w:t>
      </w:r>
      <w:r>
        <w:rPr>
          <w:rFonts w:hint="eastAsia" w:ascii="仿宋_GB2312" w:hAnsi="黑体" w:eastAsia="仿宋_GB2312"/>
          <w:color w:val="auto"/>
          <w:sz w:val="32"/>
          <w:szCs w:val="32"/>
          <w:highlight w:val="none"/>
        </w:rPr>
        <w:t>；城乡社区支出</w:t>
      </w:r>
      <w:r>
        <w:rPr>
          <w:rFonts w:hint="eastAsia" w:ascii="仿宋_GB2312" w:hAnsi="黑体" w:eastAsia="仿宋_GB2312"/>
          <w:color w:val="auto"/>
          <w:sz w:val="32"/>
          <w:szCs w:val="32"/>
          <w:highlight w:val="none"/>
          <w:lang w:val="en-US" w:eastAsia="zh-CN"/>
        </w:rPr>
        <w:t>6704</w:t>
      </w:r>
      <w:r>
        <w:rPr>
          <w:rFonts w:hint="eastAsia" w:ascii="仿宋_GB2312" w:hAnsi="黑体" w:eastAsia="仿宋_GB2312"/>
          <w:color w:val="auto"/>
          <w:sz w:val="32"/>
          <w:szCs w:val="32"/>
          <w:highlight w:val="none"/>
        </w:rPr>
        <w:t>万元，同比下降4.</w:t>
      </w:r>
      <w:r>
        <w:rPr>
          <w:rFonts w:hint="eastAsia" w:ascii="仿宋_GB2312" w:hAnsi="黑体" w:eastAsia="仿宋_GB2312"/>
          <w:color w:val="auto"/>
          <w:sz w:val="32"/>
          <w:szCs w:val="32"/>
          <w:highlight w:val="none"/>
          <w:lang w:val="en-US" w:eastAsia="zh-CN"/>
        </w:rPr>
        <w:t>5</w:t>
      </w:r>
      <w:r>
        <w:rPr>
          <w:rFonts w:hint="eastAsia" w:ascii="仿宋_GB2312" w:hAnsi="黑体" w:eastAsia="仿宋_GB2312"/>
          <w:color w:val="auto"/>
          <w:sz w:val="32"/>
          <w:szCs w:val="32"/>
          <w:highlight w:val="none"/>
        </w:rPr>
        <w:t>%；农林水支出</w:t>
      </w:r>
      <w:r>
        <w:rPr>
          <w:rFonts w:hint="eastAsia" w:ascii="仿宋_GB2312" w:hAnsi="黑体" w:eastAsia="仿宋_GB2312"/>
          <w:color w:val="auto"/>
          <w:sz w:val="32"/>
          <w:szCs w:val="32"/>
          <w:highlight w:val="none"/>
          <w:lang w:val="en-US" w:eastAsia="zh-CN"/>
        </w:rPr>
        <w:t>45407</w:t>
      </w:r>
      <w:r>
        <w:rPr>
          <w:rFonts w:hint="eastAsia" w:ascii="仿宋_GB2312" w:hAnsi="黑体" w:eastAsia="仿宋_GB2312"/>
          <w:color w:val="auto"/>
          <w:sz w:val="32"/>
          <w:szCs w:val="32"/>
          <w:highlight w:val="none"/>
          <w:lang w:eastAsia="zh-CN"/>
        </w:rPr>
        <w:t>万元</w:t>
      </w:r>
      <w:r>
        <w:rPr>
          <w:rFonts w:hint="eastAsia" w:ascii="仿宋_GB2312" w:hAnsi="黑体" w:eastAsia="仿宋_GB2312"/>
          <w:color w:val="auto"/>
          <w:sz w:val="32"/>
          <w:szCs w:val="32"/>
          <w:highlight w:val="none"/>
        </w:rPr>
        <w:t>，同比</w:t>
      </w:r>
      <w:r>
        <w:rPr>
          <w:rFonts w:hint="eastAsia" w:ascii="仿宋_GB2312" w:hAnsi="黑体" w:eastAsia="仿宋_GB2312"/>
          <w:color w:val="auto"/>
          <w:sz w:val="32"/>
          <w:szCs w:val="32"/>
          <w:highlight w:val="none"/>
          <w:lang w:val="en-US" w:eastAsia="zh-CN"/>
        </w:rPr>
        <w:t>下降11.1</w:t>
      </w:r>
      <w:r>
        <w:rPr>
          <w:rFonts w:hint="eastAsia" w:ascii="仿宋_GB2312" w:hAnsi="黑体" w:eastAsia="仿宋_GB2312"/>
          <w:color w:val="auto"/>
          <w:sz w:val="32"/>
          <w:szCs w:val="32"/>
          <w:highlight w:val="none"/>
        </w:rPr>
        <w:t>%</w:t>
      </w:r>
      <w:r>
        <w:rPr>
          <w:rFonts w:hint="eastAsia" w:ascii="仿宋_GB2312" w:hAnsi="黑体" w:eastAsia="仿宋_GB2312"/>
          <w:color w:val="auto"/>
          <w:sz w:val="32"/>
          <w:szCs w:val="32"/>
          <w:highlight w:val="none"/>
          <w:lang w:eastAsia="zh-CN"/>
        </w:rPr>
        <w:t>，主要是专款减少</w:t>
      </w:r>
      <w:r>
        <w:rPr>
          <w:rFonts w:hint="eastAsia" w:ascii="仿宋_GB2312" w:hAnsi="黑体" w:eastAsia="仿宋_GB2312"/>
          <w:color w:val="auto"/>
          <w:sz w:val="32"/>
          <w:szCs w:val="32"/>
          <w:highlight w:val="none"/>
        </w:rPr>
        <w:t>；交通运输支出</w:t>
      </w:r>
      <w:r>
        <w:rPr>
          <w:rFonts w:hint="eastAsia" w:ascii="仿宋_GB2312" w:hAnsi="黑体" w:eastAsia="仿宋_GB2312"/>
          <w:color w:val="auto"/>
          <w:sz w:val="32"/>
          <w:szCs w:val="32"/>
          <w:highlight w:val="none"/>
          <w:lang w:val="en-US" w:eastAsia="zh-CN"/>
        </w:rPr>
        <w:t>16669</w:t>
      </w:r>
      <w:r>
        <w:rPr>
          <w:rFonts w:hint="eastAsia" w:ascii="仿宋_GB2312" w:hAnsi="黑体" w:eastAsia="仿宋_GB2312"/>
          <w:color w:val="auto"/>
          <w:sz w:val="32"/>
          <w:szCs w:val="32"/>
          <w:highlight w:val="none"/>
          <w:lang w:eastAsia="zh-CN"/>
        </w:rPr>
        <w:t>万元</w:t>
      </w:r>
      <w:r>
        <w:rPr>
          <w:rFonts w:hint="eastAsia" w:ascii="仿宋_GB2312" w:hAnsi="黑体" w:eastAsia="仿宋_GB2312"/>
          <w:color w:val="auto"/>
          <w:sz w:val="32"/>
          <w:szCs w:val="32"/>
          <w:highlight w:val="none"/>
        </w:rPr>
        <w:t>，同比增长</w:t>
      </w:r>
      <w:r>
        <w:rPr>
          <w:rFonts w:hint="eastAsia" w:ascii="仿宋_GB2312" w:hAnsi="黑体" w:eastAsia="仿宋_GB2312"/>
          <w:color w:val="auto"/>
          <w:sz w:val="32"/>
          <w:szCs w:val="32"/>
          <w:highlight w:val="none"/>
          <w:lang w:val="en-US" w:eastAsia="zh-CN"/>
        </w:rPr>
        <w:t>28.8</w:t>
      </w:r>
      <w:r>
        <w:rPr>
          <w:rFonts w:hint="eastAsia" w:ascii="仿宋_GB2312" w:hAnsi="黑体" w:eastAsia="仿宋_GB2312"/>
          <w:color w:val="auto"/>
          <w:sz w:val="32"/>
          <w:szCs w:val="32"/>
          <w:highlight w:val="none"/>
        </w:rPr>
        <w:t>%</w:t>
      </w:r>
      <w:r>
        <w:rPr>
          <w:rFonts w:hint="eastAsia" w:ascii="仿宋_GB2312" w:hAnsi="黑体" w:eastAsia="仿宋_GB2312"/>
          <w:color w:val="auto"/>
          <w:sz w:val="32"/>
          <w:szCs w:val="32"/>
          <w:highlight w:val="none"/>
          <w:lang w:eastAsia="zh-CN"/>
        </w:rPr>
        <w:t>，</w:t>
      </w:r>
      <w:r>
        <w:rPr>
          <w:rFonts w:hint="eastAsia" w:ascii="仿宋_GB2312" w:hAnsi="黑体" w:eastAsia="仿宋_GB2312"/>
          <w:color w:val="auto"/>
          <w:sz w:val="32"/>
          <w:szCs w:val="32"/>
          <w:highlight w:val="none"/>
          <w:lang w:val="en-US" w:eastAsia="zh-CN"/>
        </w:rPr>
        <w:t>主要是归还到期的贷款本金</w:t>
      </w:r>
      <w:r>
        <w:rPr>
          <w:rFonts w:hint="eastAsia" w:ascii="仿宋_GB2312" w:hAnsi="黑体" w:eastAsia="仿宋_GB2312"/>
          <w:color w:val="auto"/>
          <w:sz w:val="32"/>
          <w:szCs w:val="32"/>
          <w:highlight w:val="none"/>
        </w:rPr>
        <w:t>；资源勘探信息等支出1</w:t>
      </w:r>
      <w:r>
        <w:rPr>
          <w:rFonts w:hint="eastAsia" w:ascii="仿宋_GB2312" w:hAnsi="黑体" w:eastAsia="仿宋_GB2312"/>
          <w:color w:val="auto"/>
          <w:sz w:val="32"/>
          <w:szCs w:val="32"/>
          <w:highlight w:val="none"/>
          <w:lang w:val="en-US" w:eastAsia="zh-CN"/>
        </w:rPr>
        <w:t>243</w:t>
      </w:r>
      <w:r>
        <w:rPr>
          <w:rFonts w:hint="eastAsia" w:ascii="仿宋_GB2312" w:hAnsi="黑体" w:eastAsia="仿宋_GB2312"/>
          <w:color w:val="auto"/>
          <w:sz w:val="32"/>
          <w:szCs w:val="32"/>
          <w:highlight w:val="none"/>
        </w:rPr>
        <w:t>万元，</w:t>
      </w:r>
      <w:r>
        <w:rPr>
          <w:rFonts w:hint="eastAsia" w:ascii="仿宋_GB2312" w:hAnsi="黑体" w:eastAsia="仿宋_GB2312"/>
          <w:color w:val="auto"/>
          <w:sz w:val="32"/>
          <w:szCs w:val="32"/>
          <w:highlight w:val="none"/>
          <w:lang w:val="en-US" w:eastAsia="zh-CN"/>
        </w:rPr>
        <w:t>与同期持平</w:t>
      </w:r>
      <w:r>
        <w:rPr>
          <w:rFonts w:hint="eastAsia" w:ascii="仿宋_GB2312" w:hAnsi="黑体" w:eastAsia="仿宋_GB2312"/>
          <w:color w:val="auto"/>
          <w:sz w:val="32"/>
          <w:szCs w:val="32"/>
          <w:highlight w:val="none"/>
        </w:rPr>
        <w:t>；商业服务业等支出</w:t>
      </w:r>
      <w:r>
        <w:rPr>
          <w:rFonts w:hint="eastAsia" w:ascii="仿宋_GB2312" w:hAnsi="黑体" w:eastAsia="仿宋_GB2312"/>
          <w:color w:val="auto"/>
          <w:sz w:val="32"/>
          <w:szCs w:val="32"/>
          <w:highlight w:val="none"/>
          <w:lang w:val="en-US" w:eastAsia="zh-CN"/>
        </w:rPr>
        <w:t>708</w:t>
      </w:r>
      <w:r>
        <w:rPr>
          <w:rFonts w:hint="eastAsia" w:ascii="仿宋_GB2312" w:hAnsi="黑体" w:eastAsia="仿宋_GB2312"/>
          <w:color w:val="auto"/>
          <w:sz w:val="32"/>
          <w:szCs w:val="32"/>
          <w:highlight w:val="none"/>
        </w:rPr>
        <w:t>万元，同比</w:t>
      </w:r>
      <w:r>
        <w:rPr>
          <w:rFonts w:hint="eastAsia" w:ascii="仿宋_GB2312" w:hAnsi="黑体" w:eastAsia="仿宋_GB2312"/>
          <w:color w:val="auto"/>
          <w:sz w:val="32"/>
          <w:szCs w:val="32"/>
          <w:highlight w:val="none"/>
          <w:lang w:val="en-US" w:eastAsia="zh-CN"/>
        </w:rPr>
        <w:t>增长7.7</w:t>
      </w:r>
      <w:r>
        <w:rPr>
          <w:rFonts w:hint="eastAsia" w:ascii="仿宋_GB2312" w:hAnsi="黑体" w:eastAsia="仿宋_GB2312"/>
          <w:color w:val="auto"/>
          <w:sz w:val="32"/>
          <w:szCs w:val="32"/>
          <w:highlight w:val="none"/>
        </w:rPr>
        <w:t>%；自然资源海洋气象等支出</w:t>
      </w:r>
      <w:r>
        <w:rPr>
          <w:rFonts w:hint="eastAsia" w:ascii="仿宋_GB2312" w:hAnsi="黑体" w:eastAsia="仿宋_GB2312"/>
          <w:color w:val="auto"/>
          <w:sz w:val="32"/>
          <w:szCs w:val="32"/>
          <w:highlight w:val="none"/>
          <w:lang w:val="en-US" w:eastAsia="zh-CN"/>
        </w:rPr>
        <w:t>2434</w:t>
      </w:r>
      <w:r>
        <w:rPr>
          <w:rFonts w:hint="eastAsia" w:ascii="仿宋_GB2312" w:hAnsi="黑体" w:eastAsia="仿宋_GB2312"/>
          <w:color w:val="auto"/>
          <w:sz w:val="32"/>
          <w:szCs w:val="32"/>
          <w:highlight w:val="none"/>
        </w:rPr>
        <w:t>万元，同比下降</w:t>
      </w:r>
      <w:r>
        <w:rPr>
          <w:rFonts w:hint="eastAsia" w:ascii="仿宋_GB2312" w:hAnsi="黑体" w:eastAsia="仿宋_GB2312"/>
          <w:color w:val="auto"/>
          <w:sz w:val="32"/>
          <w:szCs w:val="32"/>
          <w:highlight w:val="none"/>
          <w:lang w:val="en-US" w:eastAsia="zh-CN"/>
        </w:rPr>
        <w:t>18.1</w:t>
      </w:r>
      <w:r>
        <w:rPr>
          <w:rFonts w:hint="eastAsia" w:ascii="仿宋_GB2312" w:hAnsi="黑体" w:eastAsia="仿宋_GB2312"/>
          <w:color w:val="auto"/>
          <w:sz w:val="32"/>
          <w:szCs w:val="32"/>
          <w:highlight w:val="none"/>
        </w:rPr>
        <w:t>%</w:t>
      </w:r>
      <w:r>
        <w:rPr>
          <w:rFonts w:hint="eastAsia" w:ascii="仿宋_GB2312" w:hAnsi="黑体" w:eastAsia="仿宋_GB2312"/>
          <w:color w:val="auto"/>
          <w:sz w:val="32"/>
          <w:szCs w:val="32"/>
          <w:highlight w:val="none"/>
          <w:lang w:eastAsia="zh-CN"/>
        </w:rPr>
        <w:t>，主要是专款减少</w:t>
      </w:r>
      <w:r>
        <w:rPr>
          <w:rFonts w:hint="eastAsia" w:ascii="仿宋_GB2312" w:hAnsi="黑体" w:eastAsia="仿宋_GB2312"/>
          <w:color w:val="auto"/>
          <w:sz w:val="32"/>
          <w:szCs w:val="32"/>
          <w:highlight w:val="none"/>
        </w:rPr>
        <w:t>；住房保障支出</w:t>
      </w:r>
      <w:r>
        <w:rPr>
          <w:rFonts w:hint="eastAsia" w:ascii="仿宋_GB2312" w:hAnsi="黑体" w:eastAsia="仿宋_GB2312"/>
          <w:color w:val="auto"/>
          <w:sz w:val="32"/>
          <w:szCs w:val="32"/>
          <w:highlight w:val="none"/>
          <w:lang w:val="en-US" w:eastAsia="zh-CN"/>
        </w:rPr>
        <w:t>4047</w:t>
      </w:r>
      <w:r>
        <w:rPr>
          <w:rFonts w:hint="eastAsia" w:ascii="仿宋_GB2312" w:hAnsi="黑体" w:eastAsia="仿宋_GB2312"/>
          <w:color w:val="auto"/>
          <w:sz w:val="32"/>
          <w:szCs w:val="32"/>
          <w:highlight w:val="none"/>
        </w:rPr>
        <w:t>万元</w:t>
      </w:r>
      <w:r>
        <w:rPr>
          <w:rFonts w:hint="eastAsia" w:ascii="仿宋_GB2312" w:hAnsi="黑体" w:eastAsia="仿宋_GB2312"/>
          <w:color w:val="auto"/>
          <w:sz w:val="32"/>
          <w:szCs w:val="32"/>
          <w:highlight w:val="none"/>
          <w:lang w:eastAsia="zh-CN"/>
        </w:rPr>
        <w:t>，</w:t>
      </w:r>
      <w:r>
        <w:rPr>
          <w:rFonts w:hint="eastAsia" w:ascii="仿宋_GB2312" w:hAnsi="黑体" w:eastAsia="仿宋_GB2312"/>
          <w:color w:val="auto"/>
          <w:sz w:val="32"/>
          <w:szCs w:val="32"/>
          <w:highlight w:val="none"/>
          <w:lang w:val="en-US" w:eastAsia="zh-CN"/>
        </w:rPr>
        <w:t>同比下降6.1%</w:t>
      </w:r>
      <w:r>
        <w:rPr>
          <w:rFonts w:hint="eastAsia" w:ascii="仿宋_GB2312" w:hAnsi="黑体" w:eastAsia="仿宋_GB2312"/>
          <w:color w:val="auto"/>
          <w:sz w:val="32"/>
          <w:szCs w:val="32"/>
          <w:highlight w:val="none"/>
        </w:rPr>
        <w:t>；粮油物资储备支出</w:t>
      </w:r>
      <w:r>
        <w:rPr>
          <w:rFonts w:hint="eastAsia" w:ascii="仿宋_GB2312" w:hAnsi="黑体" w:eastAsia="仿宋_GB2312"/>
          <w:color w:val="auto"/>
          <w:sz w:val="32"/>
          <w:szCs w:val="32"/>
          <w:highlight w:val="none"/>
          <w:lang w:val="en-US" w:eastAsia="zh-CN"/>
        </w:rPr>
        <w:t>207</w:t>
      </w:r>
      <w:r>
        <w:rPr>
          <w:rFonts w:hint="eastAsia" w:ascii="仿宋_GB2312" w:hAnsi="黑体" w:eastAsia="仿宋_GB2312"/>
          <w:color w:val="auto"/>
          <w:sz w:val="32"/>
          <w:szCs w:val="32"/>
          <w:highlight w:val="none"/>
        </w:rPr>
        <w:t>万元</w:t>
      </w:r>
      <w:r>
        <w:rPr>
          <w:rFonts w:hint="eastAsia" w:ascii="仿宋_GB2312" w:hAnsi="黑体" w:eastAsia="仿宋_GB2312"/>
          <w:color w:val="auto"/>
          <w:sz w:val="32"/>
          <w:szCs w:val="32"/>
          <w:highlight w:val="none"/>
          <w:lang w:eastAsia="zh-CN"/>
        </w:rPr>
        <w:t>，</w:t>
      </w:r>
      <w:r>
        <w:rPr>
          <w:rFonts w:hint="eastAsia" w:ascii="仿宋_GB2312" w:hAnsi="黑体" w:eastAsia="仿宋_GB2312"/>
          <w:color w:val="auto"/>
          <w:sz w:val="32"/>
          <w:szCs w:val="32"/>
          <w:highlight w:val="none"/>
        </w:rPr>
        <w:t>同比</w:t>
      </w:r>
      <w:r>
        <w:rPr>
          <w:rFonts w:hint="eastAsia" w:ascii="仿宋_GB2312" w:hAnsi="黑体" w:eastAsia="仿宋_GB2312"/>
          <w:color w:val="auto"/>
          <w:sz w:val="32"/>
          <w:szCs w:val="32"/>
          <w:highlight w:val="none"/>
          <w:lang w:val="en-US" w:eastAsia="zh-CN"/>
        </w:rPr>
        <w:t>增长2.5</w:t>
      </w:r>
      <w:r>
        <w:rPr>
          <w:rFonts w:hint="eastAsia" w:ascii="仿宋_GB2312" w:hAnsi="黑体" w:eastAsia="仿宋_GB2312"/>
          <w:color w:val="auto"/>
          <w:sz w:val="32"/>
          <w:szCs w:val="32"/>
          <w:highlight w:val="none"/>
        </w:rPr>
        <w:t>%；灾害防治及应急管理2</w:t>
      </w:r>
      <w:r>
        <w:rPr>
          <w:rFonts w:hint="eastAsia" w:ascii="仿宋_GB2312" w:hAnsi="黑体" w:eastAsia="仿宋_GB2312"/>
          <w:color w:val="auto"/>
          <w:sz w:val="32"/>
          <w:szCs w:val="32"/>
          <w:highlight w:val="none"/>
          <w:lang w:val="en-US" w:eastAsia="zh-CN"/>
        </w:rPr>
        <w:t>295</w:t>
      </w:r>
      <w:r>
        <w:rPr>
          <w:rFonts w:hint="eastAsia" w:ascii="仿宋_GB2312" w:hAnsi="黑体" w:eastAsia="仿宋_GB2312"/>
          <w:color w:val="auto"/>
          <w:sz w:val="32"/>
          <w:szCs w:val="32"/>
          <w:highlight w:val="none"/>
        </w:rPr>
        <w:t>万元，同比增加</w:t>
      </w:r>
      <w:r>
        <w:rPr>
          <w:rFonts w:hint="eastAsia" w:ascii="仿宋_GB2312" w:hAnsi="黑体" w:eastAsia="仿宋_GB2312"/>
          <w:color w:val="auto"/>
          <w:sz w:val="32"/>
          <w:szCs w:val="32"/>
          <w:highlight w:val="none"/>
          <w:lang w:val="en-US" w:eastAsia="zh-CN"/>
        </w:rPr>
        <w:t>7.4</w:t>
      </w:r>
      <w:r>
        <w:rPr>
          <w:rFonts w:hint="eastAsia" w:ascii="仿宋_GB2312" w:hAnsi="黑体" w:eastAsia="仿宋_GB2312"/>
          <w:color w:val="auto"/>
          <w:sz w:val="32"/>
          <w:szCs w:val="32"/>
          <w:highlight w:val="none"/>
        </w:rPr>
        <w:t>%；预备费3360万元</w:t>
      </w:r>
      <w:r>
        <w:rPr>
          <w:rFonts w:hint="eastAsia" w:ascii="仿宋_GB2312" w:hAnsi="黑体" w:eastAsia="仿宋_GB2312"/>
          <w:color w:val="auto"/>
          <w:sz w:val="32"/>
          <w:szCs w:val="32"/>
          <w:highlight w:val="none"/>
          <w:lang w:eastAsia="zh-CN"/>
        </w:rPr>
        <w:t>；</w:t>
      </w:r>
      <w:r>
        <w:rPr>
          <w:rFonts w:hint="eastAsia" w:ascii="仿宋_GB2312" w:hAnsi="黑体" w:eastAsia="仿宋_GB2312"/>
          <w:color w:val="auto"/>
          <w:sz w:val="32"/>
          <w:szCs w:val="32"/>
          <w:highlight w:val="none"/>
        </w:rPr>
        <w:t>债务付息支出</w:t>
      </w:r>
      <w:r>
        <w:rPr>
          <w:rFonts w:hint="eastAsia" w:ascii="仿宋_GB2312" w:hAnsi="黑体" w:eastAsia="仿宋_GB2312"/>
          <w:color w:val="auto"/>
          <w:sz w:val="32"/>
          <w:szCs w:val="32"/>
          <w:highlight w:val="none"/>
          <w:lang w:val="en-US" w:eastAsia="zh-CN"/>
        </w:rPr>
        <w:t>69</w:t>
      </w:r>
      <w:r>
        <w:rPr>
          <w:rFonts w:hint="eastAsia" w:ascii="仿宋_GB2312" w:hAnsi="黑体" w:eastAsia="仿宋_GB2312"/>
          <w:color w:val="auto"/>
          <w:sz w:val="32"/>
          <w:szCs w:val="32"/>
          <w:highlight w:val="none"/>
        </w:rPr>
        <w:t>00万元。</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cs="仿宋"/>
          <w:color w:val="auto"/>
          <w:sz w:val="32"/>
          <w:szCs w:val="32"/>
          <w:highlight w:val="none"/>
        </w:rPr>
      </w:pPr>
      <w:r>
        <w:rPr>
          <w:rFonts w:hint="eastAsia" w:ascii="仿宋_GB2312" w:hAnsi="宋体" w:eastAsia="仿宋_GB2312"/>
          <w:color w:val="auto"/>
          <w:sz w:val="32"/>
          <w:szCs w:val="32"/>
          <w:highlight w:val="none"/>
        </w:rPr>
        <w:t>（3）预算平衡情况。</w:t>
      </w:r>
      <w:r>
        <w:rPr>
          <w:rFonts w:hint="eastAsia" w:ascii="仿宋_GB2312" w:eastAsia="仿宋_GB2312"/>
          <w:color w:val="auto"/>
          <w:sz w:val="32"/>
          <w:szCs w:val="32"/>
          <w:highlight w:val="none"/>
        </w:rPr>
        <w:t>一般公共预算的收入总量为</w:t>
      </w:r>
      <w:r>
        <w:rPr>
          <w:rFonts w:hint="eastAsia" w:ascii="仿宋_GB2312" w:eastAsia="仿宋_GB2312"/>
          <w:color w:val="auto"/>
          <w:sz w:val="32"/>
          <w:szCs w:val="32"/>
          <w:highlight w:val="none"/>
          <w:lang w:val="en-US" w:eastAsia="zh-CN"/>
        </w:rPr>
        <w:t>344141</w:t>
      </w:r>
      <w:r>
        <w:rPr>
          <w:rFonts w:hint="eastAsia" w:ascii="仿宋_GB2312" w:eastAsia="仿宋_GB2312"/>
          <w:color w:val="auto"/>
          <w:sz w:val="32"/>
          <w:szCs w:val="32"/>
          <w:highlight w:val="none"/>
          <w:lang w:eastAsia="zh-CN"/>
        </w:rPr>
        <w:t>万元</w:t>
      </w:r>
      <w:r>
        <w:rPr>
          <w:rFonts w:hint="eastAsia" w:ascii="仿宋_GB2312" w:eastAsia="仿宋_GB2312"/>
          <w:color w:val="auto"/>
          <w:sz w:val="32"/>
          <w:szCs w:val="32"/>
          <w:highlight w:val="none"/>
        </w:rPr>
        <w:t>，其中：一般公共预算收入</w:t>
      </w:r>
      <w:r>
        <w:rPr>
          <w:rFonts w:hint="eastAsia" w:ascii="仿宋_GB2312" w:eastAsia="仿宋_GB2312"/>
          <w:color w:val="auto"/>
          <w:sz w:val="32"/>
          <w:szCs w:val="32"/>
          <w:highlight w:val="none"/>
          <w:lang w:val="en-US" w:eastAsia="zh-CN"/>
        </w:rPr>
        <w:t>70000</w:t>
      </w:r>
      <w:r>
        <w:rPr>
          <w:rFonts w:hint="eastAsia" w:ascii="仿宋_GB2312" w:eastAsia="仿宋_GB2312"/>
          <w:color w:val="auto"/>
          <w:sz w:val="32"/>
          <w:szCs w:val="32"/>
          <w:highlight w:val="none"/>
          <w:lang w:eastAsia="zh-CN"/>
        </w:rPr>
        <w:t>万元</w:t>
      </w:r>
      <w:r>
        <w:rPr>
          <w:rFonts w:hint="eastAsia" w:ascii="仿宋_GB2312" w:eastAsia="仿宋_GB2312"/>
          <w:color w:val="auto"/>
          <w:sz w:val="32"/>
          <w:szCs w:val="32"/>
          <w:highlight w:val="none"/>
        </w:rPr>
        <w:t>，上级补助收入</w:t>
      </w:r>
      <w:r>
        <w:rPr>
          <w:rFonts w:hint="eastAsia" w:ascii="仿宋_GB2312" w:eastAsia="仿宋_GB2312"/>
          <w:color w:val="auto"/>
          <w:sz w:val="32"/>
          <w:szCs w:val="32"/>
          <w:highlight w:val="none"/>
          <w:lang w:val="en-US" w:eastAsia="zh-CN"/>
        </w:rPr>
        <w:t>212856</w:t>
      </w:r>
      <w:r>
        <w:rPr>
          <w:rFonts w:hint="eastAsia" w:ascii="仿宋_GB2312" w:eastAsia="仿宋_GB2312"/>
          <w:color w:val="auto"/>
          <w:sz w:val="32"/>
          <w:szCs w:val="32"/>
          <w:highlight w:val="none"/>
          <w:lang w:eastAsia="zh-CN"/>
        </w:rPr>
        <w:t>万元</w:t>
      </w:r>
      <w:r>
        <w:rPr>
          <w:rFonts w:hint="eastAsia" w:ascii="仿宋_GB2312" w:eastAsia="仿宋_GB2312"/>
          <w:color w:val="auto"/>
          <w:sz w:val="32"/>
          <w:szCs w:val="32"/>
          <w:highlight w:val="none"/>
        </w:rPr>
        <w:t>，债券转贷收入</w:t>
      </w:r>
      <w:r>
        <w:rPr>
          <w:rFonts w:hint="eastAsia" w:ascii="仿宋_GB2312" w:eastAsia="仿宋_GB2312"/>
          <w:color w:val="auto"/>
          <w:sz w:val="32"/>
          <w:szCs w:val="32"/>
          <w:highlight w:val="none"/>
          <w:lang w:val="en-US" w:eastAsia="zh-CN"/>
        </w:rPr>
        <w:t>14439</w:t>
      </w:r>
      <w:r>
        <w:rPr>
          <w:rFonts w:hint="eastAsia" w:ascii="仿宋_GB2312" w:eastAsia="仿宋_GB2312"/>
          <w:color w:val="auto"/>
          <w:sz w:val="32"/>
          <w:szCs w:val="32"/>
          <w:highlight w:val="none"/>
          <w:lang w:eastAsia="zh-CN"/>
        </w:rPr>
        <w:t>万元</w:t>
      </w:r>
      <w:r>
        <w:rPr>
          <w:rFonts w:hint="eastAsia" w:ascii="仿宋_GB2312" w:eastAsia="仿宋_GB2312"/>
          <w:color w:val="auto"/>
          <w:sz w:val="32"/>
          <w:szCs w:val="32"/>
          <w:highlight w:val="none"/>
        </w:rPr>
        <w:t>，调入资金</w:t>
      </w:r>
      <w:r>
        <w:rPr>
          <w:rFonts w:hint="eastAsia" w:ascii="仿宋_GB2312" w:eastAsia="仿宋_GB2312"/>
          <w:color w:val="auto"/>
          <w:sz w:val="32"/>
          <w:szCs w:val="32"/>
          <w:highlight w:val="none"/>
          <w:lang w:val="en-US" w:eastAsia="zh-CN"/>
        </w:rPr>
        <w:t>10331</w:t>
      </w:r>
      <w:r>
        <w:rPr>
          <w:rFonts w:hint="eastAsia" w:ascii="仿宋_GB2312" w:eastAsia="仿宋_GB2312"/>
          <w:color w:val="auto"/>
          <w:sz w:val="32"/>
          <w:szCs w:val="32"/>
          <w:highlight w:val="none"/>
          <w:lang w:eastAsia="zh-CN"/>
        </w:rPr>
        <w:t>万元，动用预算稳定调节基金4132万元，上年结转</w:t>
      </w:r>
      <w:r>
        <w:rPr>
          <w:rFonts w:hint="eastAsia" w:ascii="仿宋_GB2312" w:eastAsia="仿宋_GB2312"/>
          <w:color w:val="auto"/>
          <w:sz w:val="32"/>
          <w:szCs w:val="32"/>
          <w:highlight w:val="none"/>
          <w:lang w:val="en-US" w:eastAsia="zh-CN"/>
        </w:rPr>
        <w:t>32383万元；</w:t>
      </w:r>
      <w:r>
        <w:rPr>
          <w:rFonts w:hint="eastAsia" w:ascii="仿宋_GB2312" w:eastAsia="仿宋_GB2312"/>
          <w:color w:val="auto"/>
          <w:sz w:val="32"/>
          <w:szCs w:val="32"/>
          <w:highlight w:val="none"/>
        </w:rPr>
        <w:t>支出总量为</w:t>
      </w:r>
      <w:r>
        <w:rPr>
          <w:rFonts w:hint="eastAsia" w:ascii="仿宋_GB2312" w:eastAsia="仿宋_GB2312"/>
          <w:color w:val="auto"/>
          <w:sz w:val="32"/>
          <w:szCs w:val="32"/>
          <w:highlight w:val="none"/>
          <w:lang w:val="en-US" w:eastAsia="zh-CN"/>
        </w:rPr>
        <w:t>344141</w:t>
      </w:r>
      <w:r>
        <w:rPr>
          <w:rFonts w:hint="eastAsia" w:ascii="仿宋_GB2312" w:eastAsia="仿宋_GB2312"/>
          <w:color w:val="auto"/>
          <w:sz w:val="32"/>
          <w:szCs w:val="32"/>
          <w:highlight w:val="none"/>
          <w:lang w:eastAsia="zh-CN"/>
        </w:rPr>
        <w:t>万元</w:t>
      </w:r>
      <w:r>
        <w:rPr>
          <w:rFonts w:hint="eastAsia" w:ascii="仿宋_GB2312" w:eastAsia="仿宋_GB2312"/>
          <w:color w:val="auto"/>
          <w:sz w:val="32"/>
          <w:szCs w:val="32"/>
          <w:highlight w:val="none"/>
        </w:rPr>
        <w:t>，其中：一般公共预算支出</w:t>
      </w:r>
      <w:r>
        <w:rPr>
          <w:rFonts w:hint="eastAsia" w:ascii="仿宋_GB2312" w:eastAsia="仿宋_GB2312"/>
          <w:color w:val="auto"/>
          <w:sz w:val="32"/>
          <w:szCs w:val="32"/>
          <w:highlight w:val="none"/>
          <w:lang w:val="en-US" w:eastAsia="zh-CN"/>
        </w:rPr>
        <w:t>314089</w:t>
      </w:r>
      <w:r>
        <w:rPr>
          <w:rFonts w:hint="eastAsia" w:ascii="仿宋_GB2312" w:eastAsia="仿宋_GB2312"/>
          <w:color w:val="auto"/>
          <w:sz w:val="32"/>
          <w:szCs w:val="32"/>
          <w:highlight w:val="none"/>
          <w:lang w:eastAsia="zh-CN"/>
        </w:rPr>
        <w:t>万元</w:t>
      </w:r>
      <w:r>
        <w:rPr>
          <w:rFonts w:hint="eastAsia" w:ascii="仿宋_GB2312" w:eastAsia="仿宋_GB2312"/>
          <w:color w:val="auto"/>
          <w:sz w:val="32"/>
          <w:szCs w:val="32"/>
          <w:highlight w:val="none"/>
        </w:rPr>
        <w:t>，债务还本</w:t>
      </w:r>
      <w:r>
        <w:rPr>
          <w:rFonts w:hint="eastAsia" w:ascii="仿宋_GB2312" w:eastAsia="仿宋_GB2312"/>
          <w:color w:val="auto"/>
          <w:sz w:val="32"/>
          <w:szCs w:val="32"/>
          <w:highlight w:val="none"/>
          <w:lang w:val="en-US" w:eastAsia="zh-CN"/>
        </w:rPr>
        <w:t>14506</w:t>
      </w:r>
      <w:r>
        <w:rPr>
          <w:rFonts w:hint="eastAsia" w:ascii="仿宋_GB2312" w:eastAsia="仿宋_GB2312"/>
          <w:color w:val="auto"/>
          <w:sz w:val="32"/>
          <w:szCs w:val="32"/>
          <w:highlight w:val="none"/>
          <w:lang w:eastAsia="zh-CN"/>
        </w:rPr>
        <w:t>万元</w:t>
      </w:r>
      <w:r>
        <w:rPr>
          <w:rFonts w:hint="eastAsia" w:ascii="仿宋_GB2312" w:eastAsia="仿宋_GB2312"/>
          <w:color w:val="auto"/>
          <w:sz w:val="32"/>
          <w:szCs w:val="32"/>
          <w:highlight w:val="none"/>
        </w:rPr>
        <w:t>，上解支出</w:t>
      </w:r>
      <w:r>
        <w:rPr>
          <w:rFonts w:hint="eastAsia" w:ascii="仿宋_GB2312" w:eastAsia="仿宋_GB2312"/>
          <w:color w:val="auto"/>
          <w:sz w:val="32"/>
          <w:szCs w:val="32"/>
          <w:highlight w:val="none"/>
          <w:lang w:val="en-US" w:eastAsia="zh-CN"/>
        </w:rPr>
        <w:t>15546</w:t>
      </w:r>
      <w:r>
        <w:rPr>
          <w:rFonts w:hint="eastAsia" w:ascii="仿宋_GB2312" w:eastAsia="仿宋_GB2312"/>
          <w:color w:val="auto"/>
          <w:sz w:val="32"/>
          <w:szCs w:val="32"/>
          <w:highlight w:val="none"/>
          <w:lang w:eastAsia="zh-CN"/>
        </w:rPr>
        <w:t>万元</w:t>
      </w:r>
      <w:r>
        <w:rPr>
          <w:rFonts w:hint="eastAsia" w:ascii="仿宋_GB2312" w:eastAsia="仿宋_GB2312"/>
          <w:color w:val="auto"/>
          <w:sz w:val="32"/>
          <w:szCs w:val="32"/>
          <w:highlight w:val="none"/>
        </w:rPr>
        <w:t>。收支相抵，预算平衡。</w:t>
      </w:r>
    </w:p>
    <w:p>
      <w:pPr>
        <w:keepNext w:val="0"/>
        <w:keepLines w:val="0"/>
        <w:pageBreakBefore w:val="0"/>
        <w:kinsoku/>
        <w:wordWrap/>
        <w:overflowPunct/>
        <w:topLinePunct w:val="0"/>
        <w:autoSpaceDE/>
        <w:autoSpaceDN/>
        <w:bidi w:val="0"/>
        <w:spacing w:line="560" w:lineRule="exact"/>
        <w:ind w:firstLine="643" w:firstLineChars="200"/>
        <w:textAlignment w:val="auto"/>
        <w:rPr>
          <w:rFonts w:hint="default" w:ascii="仿宋_GB2312" w:hAnsi="仿宋" w:eastAsia="仿宋_GB2312" w:cs="仿宋"/>
          <w:b/>
          <w:bCs/>
          <w:color w:val="auto"/>
          <w:sz w:val="32"/>
          <w:szCs w:val="32"/>
          <w:highlight w:val="none"/>
          <w:lang w:val="en-US" w:eastAsia="zh-CN"/>
        </w:rPr>
      </w:pPr>
      <w:r>
        <w:rPr>
          <w:rFonts w:hint="eastAsia" w:ascii="仿宋_GB2312" w:hAnsi="仿宋" w:eastAsia="仿宋_GB2312" w:cs="仿宋"/>
          <w:b/>
          <w:bCs/>
          <w:color w:val="auto"/>
          <w:sz w:val="32"/>
          <w:szCs w:val="32"/>
          <w:highlight w:val="none"/>
        </w:rPr>
        <w:t>2、政府性基金预算草案</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仿宋_GB2312" w:eastAsia="仿宋_GB2312"/>
          <w:color w:val="auto"/>
          <w:highlight w:val="none"/>
        </w:rPr>
      </w:pPr>
      <w:r>
        <w:rPr>
          <w:rFonts w:hint="eastAsia" w:ascii="仿宋_GB2312" w:hAnsi="仿宋" w:eastAsia="仿宋_GB2312" w:cs="仿宋"/>
          <w:color w:val="auto"/>
          <w:sz w:val="32"/>
          <w:szCs w:val="32"/>
          <w:highlight w:val="none"/>
        </w:rPr>
        <w:t>本级政府性基金收入</w:t>
      </w:r>
      <w:r>
        <w:rPr>
          <w:rFonts w:hint="eastAsia" w:ascii="仿宋_GB2312" w:hAnsi="仿宋" w:eastAsia="仿宋_GB2312" w:cs="仿宋"/>
          <w:color w:val="auto"/>
          <w:sz w:val="32"/>
          <w:szCs w:val="32"/>
          <w:highlight w:val="none"/>
          <w:lang w:val="en-US" w:eastAsia="zh-CN"/>
        </w:rPr>
        <w:t>75635</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。其中：</w:t>
      </w:r>
      <w:r>
        <w:rPr>
          <w:rFonts w:hint="eastAsia" w:ascii="仿宋_GB2312" w:hAnsi="仿宋" w:eastAsia="仿宋_GB2312" w:cs="仿宋"/>
          <w:color w:val="auto"/>
          <w:sz w:val="32"/>
          <w:szCs w:val="32"/>
          <w:highlight w:val="none"/>
          <w:lang w:eastAsia="zh-CN"/>
        </w:rPr>
        <w:t>国有土地收益基金收入</w:t>
      </w:r>
      <w:r>
        <w:rPr>
          <w:rFonts w:hint="eastAsia" w:ascii="仿宋_GB2312" w:hAnsi="仿宋" w:eastAsia="仿宋_GB2312" w:cs="仿宋"/>
          <w:color w:val="auto"/>
          <w:sz w:val="32"/>
          <w:szCs w:val="32"/>
          <w:highlight w:val="none"/>
          <w:lang w:val="en-US" w:eastAsia="zh-CN"/>
        </w:rPr>
        <w:t>4680万元，</w:t>
      </w:r>
      <w:r>
        <w:rPr>
          <w:rFonts w:hint="eastAsia" w:ascii="仿宋_GB2312" w:hAnsi="仿宋" w:eastAsia="仿宋_GB2312" w:cs="仿宋"/>
          <w:color w:val="auto"/>
          <w:sz w:val="32"/>
          <w:szCs w:val="32"/>
          <w:highlight w:val="none"/>
        </w:rPr>
        <w:t>同比增加</w:t>
      </w:r>
      <w:r>
        <w:rPr>
          <w:rFonts w:hint="eastAsia" w:ascii="仿宋_GB2312" w:hAnsi="仿宋" w:eastAsia="仿宋_GB2312" w:cs="仿宋"/>
          <w:color w:val="auto"/>
          <w:sz w:val="32"/>
          <w:szCs w:val="32"/>
          <w:highlight w:val="none"/>
          <w:lang w:val="en-US" w:eastAsia="zh-CN"/>
        </w:rPr>
        <w:t>234.2</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土地出让金收入</w:t>
      </w:r>
      <w:r>
        <w:rPr>
          <w:rFonts w:hint="eastAsia" w:ascii="仿宋_GB2312" w:hAnsi="仿宋" w:eastAsia="仿宋_GB2312" w:cs="仿宋"/>
          <w:color w:val="auto"/>
          <w:sz w:val="32"/>
          <w:szCs w:val="32"/>
          <w:highlight w:val="none"/>
          <w:lang w:val="en-US" w:eastAsia="zh-CN"/>
        </w:rPr>
        <w:t>60220</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，同比增加</w:t>
      </w:r>
      <w:r>
        <w:rPr>
          <w:rFonts w:hint="eastAsia" w:ascii="仿宋_GB2312" w:hAnsi="仿宋" w:eastAsia="仿宋_GB2312" w:cs="仿宋"/>
          <w:color w:val="auto"/>
          <w:sz w:val="32"/>
          <w:szCs w:val="32"/>
          <w:highlight w:val="none"/>
          <w:lang w:val="en-US" w:eastAsia="zh-CN"/>
        </w:rPr>
        <w:t>149.8</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，增长</w:t>
      </w:r>
      <w:r>
        <w:rPr>
          <w:rFonts w:hint="eastAsia" w:ascii="仿宋_GB2312" w:hAnsi="仿宋" w:eastAsia="仿宋_GB2312" w:cs="仿宋"/>
          <w:color w:val="auto"/>
          <w:sz w:val="32"/>
          <w:szCs w:val="32"/>
          <w:highlight w:val="none"/>
          <w:lang w:val="en-US" w:eastAsia="zh-CN"/>
        </w:rPr>
        <w:t>主要原因是2022年将对原国贸大厦进行开发建设</w:t>
      </w:r>
      <w:r>
        <w:rPr>
          <w:rFonts w:hint="eastAsia" w:ascii="仿宋_GB2312" w:hAnsi="仿宋" w:eastAsia="仿宋_GB2312" w:cs="仿宋"/>
          <w:color w:val="auto"/>
          <w:sz w:val="32"/>
          <w:szCs w:val="32"/>
          <w:highlight w:val="none"/>
        </w:rPr>
        <w:t>；城市基础设施配套费收入700万元；污水处理费收入700万元；车辆通行费收入1</w:t>
      </w:r>
      <w:r>
        <w:rPr>
          <w:rFonts w:hint="eastAsia" w:ascii="仿宋_GB2312" w:hAnsi="仿宋" w:eastAsia="仿宋_GB2312" w:cs="仿宋"/>
          <w:color w:val="auto"/>
          <w:sz w:val="32"/>
          <w:szCs w:val="32"/>
          <w:highlight w:val="none"/>
          <w:lang w:val="en-US" w:eastAsia="zh-CN"/>
        </w:rPr>
        <w:t>5</w:t>
      </w:r>
      <w:r>
        <w:rPr>
          <w:rFonts w:hint="eastAsia" w:ascii="仿宋_GB2312" w:hAnsi="仿宋" w:eastAsia="仿宋_GB2312" w:cs="仿宋"/>
          <w:color w:val="auto"/>
          <w:sz w:val="32"/>
          <w:szCs w:val="32"/>
          <w:highlight w:val="none"/>
        </w:rPr>
        <w:t>00万元，同比</w:t>
      </w:r>
      <w:r>
        <w:rPr>
          <w:rFonts w:hint="eastAsia" w:ascii="仿宋_GB2312" w:hAnsi="仿宋" w:eastAsia="仿宋_GB2312" w:cs="仿宋"/>
          <w:color w:val="auto"/>
          <w:sz w:val="32"/>
          <w:szCs w:val="32"/>
          <w:highlight w:val="none"/>
          <w:lang w:val="en-US" w:eastAsia="zh-CN"/>
        </w:rPr>
        <w:t>增长50</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lang w:val="en-US" w:eastAsia="zh-CN"/>
        </w:rPr>
        <w:t>主要是货车收费形式发生变化，由按车型收费变为按载货重量收费</w:t>
      </w:r>
      <w:r>
        <w:rPr>
          <w:rFonts w:hint="eastAsia" w:ascii="仿宋_GB2312" w:hAnsi="仿宋" w:eastAsia="仿宋_GB2312" w:cs="仿宋"/>
          <w:color w:val="auto"/>
          <w:sz w:val="32"/>
          <w:szCs w:val="32"/>
          <w:highlight w:val="none"/>
        </w:rPr>
        <w:t>；新增专项债券对应项目专项收入</w:t>
      </w:r>
      <w:r>
        <w:rPr>
          <w:rFonts w:hint="eastAsia" w:ascii="仿宋_GB2312" w:hAnsi="仿宋" w:eastAsia="仿宋_GB2312" w:cs="仿宋"/>
          <w:color w:val="auto"/>
          <w:sz w:val="32"/>
          <w:szCs w:val="32"/>
          <w:highlight w:val="none"/>
          <w:lang w:val="en-US" w:eastAsia="zh-CN"/>
        </w:rPr>
        <w:t>7835</w:t>
      </w:r>
      <w:r>
        <w:rPr>
          <w:rFonts w:hint="eastAsia" w:ascii="仿宋_GB2312" w:hAnsi="仿宋" w:eastAsia="仿宋_GB2312" w:cs="仿宋"/>
          <w:color w:val="auto"/>
          <w:sz w:val="32"/>
          <w:szCs w:val="32"/>
          <w:highlight w:val="none"/>
        </w:rPr>
        <w:t>万元，同比</w:t>
      </w:r>
      <w:r>
        <w:rPr>
          <w:rFonts w:hint="eastAsia" w:ascii="仿宋_GB2312" w:hAnsi="仿宋" w:eastAsia="仿宋_GB2312" w:cs="仿宋"/>
          <w:color w:val="auto"/>
          <w:sz w:val="32"/>
          <w:szCs w:val="32"/>
          <w:highlight w:val="none"/>
          <w:lang w:val="en-US" w:eastAsia="zh-CN"/>
        </w:rPr>
        <w:t>增长291.7</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主要是企业上缴的</w:t>
      </w:r>
      <w:r>
        <w:rPr>
          <w:rFonts w:hint="eastAsia" w:ascii="仿宋_GB2312" w:hAnsi="仿宋" w:eastAsia="仿宋_GB2312" w:cs="仿宋"/>
          <w:color w:val="auto"/>
          <w:sz w:val="32"/>
          <w:szCs w:val="32"/>
          <w:highlight w:val="none"/>
          <w:lang w:val="en-US" w:eastAsia="zh-CN"/>
        </w:rPr>
        <w:t>到期</w:t>
      </w:r>
      <w:r>
        <w:rPr>
          <w:rFonts w:hint="eastAsia" w:ascii="仿宋_GB2312" w:hAnsi="仿宋" w:eastAsia="仿宋_GB2312" w:cs="仿宋"/>
          <w:color w:val="auto"/>
          <w:sz w:val="32"/>
          <w:szCs w:val="32"/>
          <w:highlight w:val="none"/>
        </w:rPr>
        <w:t>专项债券利息</w:t>
      </w:r>
      <w:r>
        <w:rPr>
          <w:rFonts w:hint="eastAsia" w:ascii="仿宋_GB2312" w:hAnsi="仿宋" w:eastAsia="仿宋_GB2312" w:cs="仿宋"/>
          <w:color w:val="auto"/>
          <w:sz w:val="32"/>
          <w:szCs w:val="32"/>
          <w:highlight w:val="none"/>
          <w:lang w:val="en-US" w:eastAsia="zh-CN"/>
        </w:rPr>
        <w:t>增加</w:t>
      </w:r>
      <w:r>
        <w:rPr>
          <w:rFonts w:hint="eastAsia" w:ascii="仿宋_GB2312" w:hAnsi="仿宋" w:eastAsia="仿宋_GB2312" w:cs="仿宋"/>
          <w:color w:val="auto"/>
          <w:sz w:val="32"/>
          <w:szCs w:val="32"/>
          <w:highlight w:val="none"/>
        </w:rPr>
        <w:t>。</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hint="eastAsia"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政府性基金预算本级支出</w:t>
      </w:r>
      <w:r>
        <w:rPr>
          <w:rFonts w:hint="eastAsia" w:ascii="仿宋_GB2312" w:hAnsi="仿宋" w:eastAsia="仿宋_GB2312" w:cs="仿宋"/>
          <w:color w:val="auto"/>
          <w:sz w:val="32"/>
          <w:szCs w:val="32"/>
          <w:highlight w:val="none"/>
          <w:lang w:val="en-US" w:eastAsia="zh-CN"/>
        </w:rPr>
        <w:t>116580</w:t>
      </w:r>
      <w:r>
        <w:rPr>
          <w:rFonts w:hint="eastAsia" w:ascii="仿宋_GB2312" w:hAnsi="仿宋" w:eastAsia="仿宋_GB2312" w:cs="仿宋"/>
          <w:color w:val="auto"/>
          <w:sz w:val="32"/>
          <w:szCs w:val="32"/>
          <w:highlight w:val="none"/>
          <w:lang w:eastAsia="zh-CN"/>
        </w:rPr>
        <w:t>万元，按</w:t>
      </w:r>
      <w:r>
        <w:rPr>
          <w:rFonts w:hint="eastAsia" w:ascii="仿宋_GB2312" w:hAnsi="仿宋" w:eastAsia="仿宋_GB2312" w:cs="仿宋"/>
          <w:color w:val="auto"/>
          <w:sz w:val="32"/>
          <w:szCs w:val="32"/>
          <w:highlight w:val="none"/>
        </w:rPr>
        <w:t>主要科目</w:t>
      </w:r>
      <w:r>
        <w:rPr>
          <w:rFonts w:hint="eastAsia" w:ascii="仿宋_GB2312" w:hAnsi="仿宋" w:eastAsia="仿宋_GB2312" w:cs="仿宋"/>
          <w:color w:val="auto"/>
          <w:sz w:val="32"/>
          <w:szCs w:val="32"/>
          <w:highlight w:val="none"/>
          <w:lang w:eastAsia="zh-CN"/>
        </w:rPr>
        <w:t>分</w:t>
      </w:r>
      <w:r>
        <w:rPr>
          <w:rFonts w:hint="eastAsia" w:ascii="仿宋_GB2312" w:hAnsi="仿宋" w:eastAsia="仿宋_GB2312" w:cs="仿宋"/>
          <w:color w:val="auto"/>
          <w:sz w:val="32"/>
          <w:szCs w:val="32"/>
          <w:highlight w:val="none"/>
        </w:rPr>
        <w:t>为：社会保障和就业支出</w:t>
      </w:r>
      <w:r>
        <w:rPr>
          <w:rFonts w:hint="eastAsia" w:ascii="仿宋_GB2312" w:hAnsi="仿宋" w:eastAsia="仿宋_GB2312" w:cs="仿宋"/>
          <w:color w:val="auto"/>
          <w:sz w:val="32"/>
          <w:szCs w:val="32"/>
          <w:highlight w:val="none"/>
          <w:lang w:val="en-US" w:eastAsia="zh-CN"/>
        </w:rPr>
        <w:t>7196</w:t>
      </w:r>
      <w:r>
        <w:rPr>
          <w:rFonts w:hint="eastAsia" w:ascii="仿宋_GB2312" w:hAnsi="仿宋" w:eastAsia="仿宋_GB2312" w:cs="仿宋"/>
          <w:color w:val="auto"/>
          <w:sz w:val="32"/>
          <w:szCs w:val="32"/>
          <w:highlight w:val="none"/>
        </w:rPr>
        <w:t>万元，主要是移民后扶基金支出；城乡社区支出</w:t>
      </w:r>
      <w:r>
        <w:rPr>
          <w:rFonts w:hint="eastAsia" w:ascii="仿宋_GB2312" w:hAnsi="仿宋" w:eastAsia="仿宋_GB2312" w:cs="仿宋"/>
          <w:color w:val="auto"/>
          <w:sz w:val="32"/>
          <w:szCs w:val="32"/>
          <w:highlight w:val="none"/>
          <w:lang w:val="en-US" w:eastAsia="zh-CN"/>
        </w:rPr>
        <w:t>45568</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，主要是土地出让金、城市基础设施配套费、污水处理费等支出；农林水支出</w:t>
      </w:r>
      <w:r>
        <w:rPr>
          <w:rFonts w:hint="eastAsia" w:ascii="仿宋_GB2312" w:hAnsi="仿宋" w:eastAsia="仿宋_GB2312" w:cs="仿宋"/>
          <w:color w:val="auto"/>
          <w:sz w:val="32"/>
          <w:szCs w:val="32"/>
          <w:highlight w:val="none"/>
          <w:lang w:val="en-US" w:eastAsia="zh-CN"/>
        </w:rPr>
        <w:t>53096</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，主要是三峡水库基金支出和</w:t>
      </w:r>
      <w:r>
        <w:rPr>
          <w:rFonts w:hint="eastAsia" w:ascii="仿宋_GB2312" w:hAnsi="仿宋" w:eastAsia="仿宋_GB2312" w:cs="仿宋"/>
          <w:color w:val="auto"/>
          <w:sz w:val="32"/>
          <w:szCs w:val="32"/>
          <w:highlight w:val="none"/>
          <w:lang w:eastAsia="zh-CN"/>
        </w:rPr>
        <w:t>三峡</w:t>
      </w:r>
      <w:r>
        <w:rPr>
          <w:rFonts w:hint="eastAsia" w:ascii="仿宋_GB2312" w:hAnsi="仿宋" w:eastAsia="仿宋_GB2312" w:cs="仿宋"/>
          <w:color w:val="auto"/>
          <w:sz w:val="32"/>
          <w:szCs w:val="32"/>
          <w:highlight w:val="none"/>
        </w:rPr>
        <w:t>后续项目资金支出；车辆通行费支出</w:t>
      </w:r>
      <w:r>
        <w:rPr>
          <w:rFonts w:hint="eastAsia" w:ascii="仿宋_GB2312" w:hAnsi="仿宋" w:eastAsia="仿宋_GB2312" w:cs="仿宋"/>
          <w:color w:val="auto"/>
          <w:sz w:val="32"/>
          <w:szCs w:val="32"/>
          <w:highlight w:val="none"/>
          <w:lang w:val="en-US" w:eastAsia="zh-CN"/>
        </w:rPr>
        <w:t>1500</w:t>
      </w:r>
      <w:r>
        <w:rPr>
          <w:rFonts w:hint="eastAsia" w:ascii="仿宋_GB2312" w:hAnsi="仿宋" w:eastAsia="仿宋_GB2312" w:cs="仿宋"/>
          <w:color w:val="auto"/>
          <w:sz w:val="32"/>
          <w:szCs w:val="32"/>
          <w:highlight w:val="none"/>
        </w:rPr>
        <w:t>万元，</w:t>
      </w:r>
      <w:r>
        <w:rPr>
          <w:rFonts w:hint="eastAsia" w:ascii="仿宋_GB2312" w:hAnsi="仿宋_GB2312" w:eastAsia="仿宋_GB2312" w:cs="仿宋_GB2312"/>
          <w:b w:val="0"/>
          <w:bCs w:val="0"/>
          <w:color w:val="auto"/>
          <w:sz w:val="32"/>
          <w:szCs w:val="32"/>
          <w:highlight w:val="none"/>
        </w:rPr>
        <w:t>为秭归长江大桥运营支出</w:t>
      </w:r>
      <w:r>
        <w:rPr>
          <w:rFonts w:hint="eastAsia" w:ascii="仿宋_GB2312" w:hAnsi="仿宋" w:eastAsia="仿宋_GB2312" w:cs="仿宋"/>
          <w:color w:val="auto"/>
          <w:sz w:val="32"/>
          <w:szCs w:val="32"/>
          <w:highlight w:val="none"/>
        </w:rPr>
        <w:t>；其他支出</w:t>
      </w:r>
      <w:r>
        <w:rPr>
          <w:rFonts w:hint="eastAsia" w:ascii="仿宋_GB2312" w:hAnsi="仿宋" w:eastAsia="仿宋_GB2312" w:cs="仿宋"/>
          <w:color w:val="auto"/>
          <w:sz w:val="32"/>
          <w:szCs w:val="32"/>
          <w:highlight w:val="none"/>
          <w:lang w:val="en-US" w:eastAsia="zh-CN"/>
        </w:rPr>
        <w:t>1119</w:t>
      </w:r>
      <w:r>
        <w:rPr>
          <w:rFonts w:hint="eastAsia" w:ascii="仿宋_GB2312" w:hAnsi="仿宋" w:eastAsia="仿宋_GB2312" w:cs="仿宋"/>
          <w:color w:val="auto"/>
          <w:sz w:val="32"/>
          <w:szCs w:val="32"/>
          <w:highlight w:val="none"/>
        </w:rPr>
        <w:t>万元，主要是彩票公益金支出；债务付息支出</w:t>
      </w:r>
      <w:r>
        <w:rPr>
          <w:rFonts w:hint="eastAsia" w:ascii="仿宋_GB2312" w:hAnsi="仿宋" w:eastAsia="仿宋_GB2312" w:cs="仿宋"/>
          <w:color w:val="auto"/>
          <w:sz w:val="32"/>
          <w:szCs w:val="32"/>
          <w:highlight w:val="none"/>
          <w:lang w:val="en-US" w:eastAsia="zh-CN"/>
        </w:rPr>
        <w:t>8101</w:t>
      </w:r>
      <w:r>
        <w:rPr>
          <w:rFonts w:hint="eastAsia" w:ascii="仿宋_GB2312" w:hAnsi="仿宋" w:eastAsia="仿宋_GB2312" w:cs="仿宋"/>
          <w:color w:val="auto"/>
          <w:sz w:val="32"/>
          <w:szCs w:val="32"/>
          <w:highlight w:val="none"/>
        </w:rPr>
        <w:t>万元，为专项债券的债务利息。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 w:eastAsia="仿宋_GB2312" w:cs="仿宋"/>
          <w:color w:val="auto"/>
          <w:sz w:val="32"/>
          <w:szCs w:val="32"/>
          <w:highlight w:val="none"/>
        </w:rPr>
        <w:t>政府性基金预算本级支出</w:t>
      </w:r>
      <w:r>
        <w:rPr>
          <w:rFonts w:hint="eastAsia" w:ascii="仿宋_GB2312" w:hAnsi="仿宋" w:eastAsia="仿宋_GB2312" w:cs="仿宋"/>
          <w:color w:val="auto"/>
          <w:sz w:val="32"/>
          <w:szCs w:val="32"/>
          <w:highlight w:val="none"/>
          <w:lang w:val="en-US" w:eastAsia="zh-CN"/>
        </w:rPr>
        <w:t>116580</w:t>
      </w:r>
      <w:r>
        <w:rPr>
          <w:rFonts w:hint="eastAsia" w:ascii="仿宋_GB2312" w:hAnsi="仿宋" w:eastAsia="仿宋_GB2312" w:cs="仿宋"/>
          <w:color w:val="auto"/>
          <w:sz w:val="32"/>
          <w:szCs w:val="32"/>
          <w:highlight w:val="none"/>
          <w:lang w:eastAsia="zh-CN"/>
        </w:rPr>
        <w:t>万元，按项目</w:t>
      </w:r>
      <w:r>
        <w:rPr>
          <w:rFonts w:hint="eastAsia" w:ascii="仿宋_GB2312" w:hAnsi="仿宋_GB2312" w:eastAsia="仿宋_GB2312" w:cs="仿宋_GB2312"/>
          <w:color w:val="auto"/>
          <w:sz w:val="32"/>
          <w:szCs w:val="32"/>
          <w:highlight w:val="none"/>
          <w:lang w:val="en-US" w:eastAsia="zh-CN"/>
        </w:rPr>
        <w:t>明细分为：</w:t>
      </w:r>
      <w:r>
        <w:rPr>
          <w:rFonts w:hint="default" w:ascii="仿宋_GB2312" w:hAnsi="仿宋_GB2312" w:eastAsia="仿宋_GB2312" w:cs="仿宋_GB2312"/>
          <w:color w:val="auto"/>
          <w:sz w:val="32"/>
          <w:szCs w:val="32"/>
          <w:highlight w:val="none"/>
          <w:lang w:val="en-US" w:eastAsia="zh-CN"/>
        </w:rPr>
        <w:t>社会保障和就业支出</w:t>
      </w:r>
      <w:r>
        <w:rPr>
          <w:rFonts w:hint="eastAsia" w:ascii="仿宋_GB2312" w:hAnsi="仿宋_GB2312" w:eastAsia="仿宋_GB2312" w:cs="仿宋_GB2312"/>
          <w:color w:val="auto"/>
          <w:sz w:val="32"/>
          <w:szCs w:val="32"/>
          <w:highlight w:val="none"/>
          <w:lang w:val="en-US" w:eastAsia="zh-CN"/>
        </w:rPr>
        <w:t>7196万元为大中型水库移民后期扶持基金支出。</w:t>
      </w:r>
      <w:r>
        <w:rPr>
          <w:rFonts w:hint="default" w:ascii="仿宋_GB2312" w:hAnsi="仿宋_GB2312" w:eastAsia="仿宋_GB2312" w:cs="仿宋_GB2312"/>
          <w:color w:val="auto"/>
          <w:sz w:val="32"/>
          <w:szCs w:val="32"/>
          <w:highlight w:val="none"/>
          <w:lang w:val="en-US" w:eastAsia="zh-CN"/>
        </w:rPr>
        <w:t>城乡社区支出</w:t>
      </w:r>
      <w:r>
        <w:rPr>
          <w:rFonts w:hint="eastAsia" w:ascii="仿宋_GB2312" w:hAnsi="仿宋_GB2312" w:eastAsia="仿宋_GB2312" w:cs="仿宋_GB2312"/>
          <w:color w:val="auto"/>
          <w:sz w:val="32"/>
          <w:szCs w:val="32"/>
          <w:highlight w:val="none"/>
          <w:lang w:val="en-US" w:eastAsia="zh-CN"/>
        </w:rPr>
        <w:t>45568万元分别为：安排县住建局城市规划及城市基础设施建设1097万元，安排市政园林建设管护中心城市防洪支出70万元，安排征收办征地拆迁补偿支出32735万元，安排茅坪镇失地农民生活困难补助191万元，安排社会保险局被征地农民生活费480万元，安排县自然资源规划局征地拆迁补偿和土地开发支出9300万元，安排县开发区污水处理厂运行经费1195万元，“擦亮小城镇”项目资金500万元。</w:t>
      </w:r>
      <w:r>
        <w:rPr>
          <w:rFonts w:hint="default" w:ascii="仿宋_GB2312" w:hAnsi="仿宋_GB2312" w:eastAsia="仿宋_GB2312" w:cs="仿宋_GB2312"/>
          <w:color w:val="auto"/>
          <w:sz w:val="32"/>
          <w:szCs w:val="32"/>
          <w:highlight w:val="none"/>
          <w:lang w:val="en-US" w:eastAsia="zh-CN"/>
        </w:rPr>
        <w:t>农林水支出</w:t>
      </w:r>
      <w:r>
        <w:rPr>
          <w:rFonts w:hint="eastAsia" w:ascii="仿宋_GB2312" w:hAnsi="仿宋_GB2312" w:eastAsia="仿宋_GB2312" w:cs="仿宋_GB2312"/>
          <w:color w:val="auto"/>
          <w:sz w:val="32"/>
          <w:szCs w:val="32"/>
          <w:highlight w:val="none"/>
          <w:lang w:val="en-US" w:eastAsia="zh-CN"/>
        </w:rPr>
        <w:t>53096万元分别为：</w:t>
      </w:r>
      <w:r>
        <w:rPr>
          <w:rFonts w:hint="default" w:ascii="仿宋_GB2312" w:hAnsi="仿宋_GB2312" w:eastAsia="仿宋_GB2312" w:cs="仿宋_GB2312"/>
          <w:color w:val="auto"/>
          <w:sz w:val="32"/>
          <w:szCs w:val="32"/>
          <w:highlight w:val="none"/>
          <w:lang w:val="en-US" w:eastAsia="zh-CN"/>
        </w:rPr>
        <w:t>三峡水库库区基金支出3068</w:t>
      </w:r>
      <w:r>
        <w:rPr>
          <w:rFonts w:hint="eastAsia" w:ascii="仿宋_GB2312" w:hAnsi="仿宋_GB2312" w:eastAsia="仿宋_GB2312" w:cs="仿宋_GB2312"/>
          <w:color w:val="auto"/>
          <w:sz w:val="32"/>
          <w:szCs w:val="32"/>
          <w:highlight w:val="none"/>
          <w:lang w:val="en-US" w:eastAsia="zh-CN"/>
        </w:rPr>
        <w:t>万元，</w:t>
      </w:r>
      <w:r>
        <w:rPr>
          <w:rFonts w:hint="default" w:ascii="仿宋_GB2312" w:hAnsi="仿宋_GB2312" w:eastAsia="仿宋_GB2312" w:cs="仿宋_GB2312"/>
          <w:color w:val="auto"/>
          <w:sz w:val="32"/>
          <w:szCs w:val="32"/>
          <w:highlight w:val="none"/>
          <w:lang w:val="en-US" w:eastAsia="zh-CN"/>
        </w:rPr>
        <w:t>三峡后续工作</w:t>
      </w:r>
      <w:r>
        <w:rPr>
          <w:rFonts w:hint="eastAsia" w:ascii="仿宋_GB2312" w:hAnsi="仿宋_GB2312" w:eastAsia="仿宋_GB2312" w:cs="仿宋_GB2312"/>
          <w:color w:val="auto"/>
          <w:sz w:val="32"/>
          <w:szCs w:val="32"/>
          <w:highlight w:val="none"/>
          <w:lang w:val="en-US" w:eastAsia="zh-CN"/>
        </w:rPr>
        <w:t>50028万元。</w:t>
      </w:r>
      <w:r>
        <w:rPr>
          <w:rFonts w:hint="default" w:ascii="仿宋_GB2312" w:hAnsi="仿宋_GB2312" w:eastAsia="仿宋_GB2312" w:cs="仿宋_GB2312"/>
          <w:color w:val="auto"/>
          <w:sz w:val="32"/>
          <w:szCs w:val="32"/>
          <w:highlight w:val="none"/>
          <w:lang w:val="en-US" w:eastAsia="zh-CN"/>
        </w:rPr>
        <w:t>交通运输支出1500</w:t>
      </w:r>
      <w:r>
        <w:rPr>
          <w:rFonts w:hint="eastAsia" w:ascii="仿宋_GB2312" w:hAnsi="仿宋_GB2312" w:eastAsia="仿宋_GB2312" w:cs="仿宋_GB2312"/>
          <w:color w:val="auto"/>
          <w:sz w:val="32"/>
          <w:szCs w:val="32"/>
          <w:highlight w:val="none"/>
          <w:lang w:val="en-US" w:eastAsia="zh-CN"/>
        </w:rPr>
        <w:t>万元安排县</w:t>
      </w:r>
      <w:r>
        <w:rPr>
          <w:rFonts w:hint="default" w:ascii="仿宋_GB2312" w:hAnsi="仿宋_GB2312" w:eastAsia="仿宋_GB2312" w:cs="仿宋_GB2312"/>
          <w:color w:val="auto"/>
          <w:sz w:val="32"/>
          <w:szCs w:val="32"/>
          <w:highlight w:val="none"/>
          <w:lang w:val="en-US" w:eastAsia="zh-CN"/>
        </w:rPr>
        <w:t>交通局</w:t>
      </w:r>
      <w:r>
        <w:rPr>
          <w:rFonts w:hint="eastAsia" w:ascii="仿宋_GB2312" w:hAnsi="仿宋_GB2312" w:eastAsia="仿宋_GB2312" w:cs="仿宋_GB2312"/>
          <w:color w:val="auto"/>
          <w:sz w:val="32"/>
          <w:szCs w:val="32"/>
          <w:highlight w:val="none"/>
          <w:lang w:val="en-US" w:eastAsia="zh-CN"/>
        </w:rPr>
        <w:t>用于</w:t>
      </w:r>
      <w:r>
        <w:rPr>
          <w:rFonts w:hint="default" w:ascii="仿宋_GB2312" w:hAnsi="仿宋_GB2312" w:eastAsia="仿宋_GB2312" w:cs="仿宋_GB2312"/>
          <w:color w:val="auto"/>
          <w:sz w:val="32"/>
          <w:szCs w:val="32"/>
          <w:highlight w:val="none"/>
          <w:lang w:val="en-US" w:eastAsia="zh-CN"/>
        </w:rPr>
        <w:t>政府还贷公路</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其他支出</w:t>
      </w:r>
      <w:r>
        <w:rPr>
          <w:rFonts w:hint="eastAsia" w:ascii="仿宋_GB2312" w:hAnsi="仿宋_GB2312" w:eastAsia="仿宋_GB2312" w:cs="仿宋_GB2312"/>
          <w:color w:val="auto"/>
          <w:sz w:val="32"/>
          <w:szCs w:val="32"/>
          <w:highlight w:val="none"/>
          <w:lang w:val="en-US" w:eastAsia="zh-CN"/>
        </w:rPr>
        <w:t>1119万元为彩票公益金支出。</w:t>
      </w:r>
      <w:r>
        <w:rPr>
          <w:rFonts w:hint="default" w:ascii="仿宋_GB2312" w:hAnsi="仿宋_GB2312" w:eastAsia="仿宋_GB2312" w:cs="仿宋_GB2312"/>
          <w:color w:val="auto"/>
          <w:sz w:val="32"/>
          <w:szCs w:val="32"/>
          <w:highlight w:val="none"/>
          <w:lang w:val="en-US" w:eastAsia="zh-CN"/>
        </w:rPr>
        <w:t>债务付息支出</w:t>
      </w:r>
      <w:r>
        <w:rPr>
          <w:rFonts w:hint="eastAsia" w:ascii="仿宋_GB2312" w:hAnsi="仿宋_GB2312" w:eastAsia="仿宋_GB2312" w:cs="仿宋_GB2312"/>
          <w:color w:val="auto"/>
          <w:sz w:val="32"/>
          <w:szCs w:val="32"/>
          <w:highlight w:val="none"/>
          <w:lang w:val="en-US" w:eastAsia="zh-CN"/>
        </w:rPr>
        <w:t>8101万元用于归还省财政厅到期的专项债券利息。</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hint="default" w:ascii="仿宋_GB2312" w:hAnsi="仿宋" w:eastAsia="仿宋_GB2312" w:cs="仿宋"/>
          <w:color w:val="auto"/>
          <w:sz w:val="32"/>
          <w:szCs w:val="32"/>
          <w:highlight w:val="none"/>
          <w:lang w:val="en-US" w:eastAsia="zh-CN"/>
        </w:rPr>
      </w:pPr>
      <w:r>
        <w:rPr>
          <w:rFonts w:hint="eastAsia" w:ascii="仿宋_GB2312" w:hAnsi="仿宋" w:eastAsia="仿宋_GB2312" w:cs="仿宋"/>
          <w:color w:val="auto"/>
          <w:sz w:val="32"/>
          <w:szCs w:val="32"/>
          <w:highlight w:val="none"/>
        </w:rPr>
        <w:t>政府性基金总收入</w:t>
      </w:r>
      <w:r>
        <w:rPr>
          <w:rFonts w:hint="eastAsia" w:ascii="仿宋_GB2312" w:hAnsi="仿宋" w:eastAsia="仿宋_GB2312" w:cs="仿宋"/>
          <w:color w:val="auto"/>
          <w:sz w:val="32"/>
          <w:szCs w:val="32"/>
          <w:highlight w:val="none"/>
          <w:lang w:val="en-US" w:eastAsia="zh-CN"/>
        </w:rPr>
        <w:t>171532</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。其中本级收入</w:t>
      </w:r>
      <w:r>
        <w:rPr>
          <w:rFonts w:hint="eastAsia" w:ascii="仿宋_GB2312" w:hAnsi="仿宋" w:eastAsia="仿宋_GB2312" w:cs="仿宋"/>
          <w:color w:val="auto"/>
          <w:sz w:val="32"/>
          <w:szCs w:val="32"/>
          <w:highlight w:val="none"/>
          <w:lang w:val="en-US" w:eastAsia="zh-CN"/>
        </w:rPr>
        <w:t>75635</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，专项转移支付收入</w:t>
      </w:r>
      <w:r>
        <w:rPr>
          <w:rFonts w:hint="eastAsia" w:ascii="仿宋_GB2312" w:hAnsi="仿宋" w:eastAsia="仿宋_GB2312" w:cs="仿宋"/>
          <w:color w:val="auto"/>
          <w:sz w:val="32"/>
          <w:szCs w:val="32"/>
          <w:highlight w:val="none"/>
          <w:lang w:val="en-US" w:eastAsia="zh-CN"/>
        </w:rPr>
        <w:t>51760</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，债券转贷收入</w:t>
      </w:r>
      <w:r>
        <w:rPr>
          <w:rFonts w:hint="eastAsia" w:ascii="仿宋_GB2312" w:hAnsi="仿宋" w:eastAsia="仿宋_GB2312" w:cs="仿宋"/>
          <w:color w:val="auto"/>
          <w:sz w:val="32"/>
          <w:szCs w:val="32"/>
          <w:highlight w:val="none"/>
          <w:lang w:val="en-US" w:eastAsia="zh-CN"/>
        </w:rPr>
        <w:t>20509</w:t>
      </w:r>
      <w:r>
        <w:rPr>
          <w:rFonts w:hint="eastAsia" w:ascii="仿宋_GB2312" w:hAnsi="仿宋" w:eastAsia="仿宋_GB2312" w:cs="仿宋"/>
          <w:color w:val="auto"/>
          <w:sz w:val="32"/>
          <w:szCs w:val="32"/>
          <w:highlight w:val="none"/>
          <w:lang w:eastAsia="zh-CN"/>
        </w:rPr>
        <w:t>万元，上年结转收入</w:t>
      </w:r>
      <w:r>
        <w:rPr>
          <w:rFonts w:hint="eastAsia" w:ascii="仿宋_GB2312" w:hAnsi="仿宋" w:eastAsia="仿宋_GB2312" w:cs="仿宋"/>
          <w:color w:val="auto"/>
          <w:sz w:val="32"/>
          <w:szCs w:val="32"/>
          <w:highlight w:val="none"/>
          <w:lang w:val="en-US" w:eastAsia="zh-CN"/>
        </w:rPr>
        <w:t>23628万元</w:t>
      </w:r>
      <w:r>
        <w:rPr>
          <w:rFonts w:hint="eastAsia" w:ascii="仿宋_GB2312" w:hAnsi="仿宋" w:eastAsia="仿宋_GB2312" w:cs="仿宋"/>
          <w:color w:val="auto"/>
          <w:sz w:val="32"/>
          <w:szCs w:val="32"/>
          <w:highlight w:val="none"/>
        </w:rPr>
        <w:t>。政府性基金总支出</w:t>
      </w:r>
      <w:r>
        <w:rPr>
          <w:rFonts w:hint="eastAsia" w:ascii="仿宋_GB2312" w:hAnsi="仿宋" w:eastAsia="仿宋_GB2312" w:cs="仿宋"/>
          <w:color w:val="auto"/>
          <w:sz w:val="32"/>
          <w:szCs w:val="32"/>
          <w:highlight w:val="none"/>
          <w:lang w:val="en-US" w:eastAsia="zh-CN"/>
        </w:rPr>
        <w:t>171532</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，其中本级支出</w:t>
      </w:r>
      <w:r>
        <w:rPr>
          <w:rFonts w:hint="eastAsia" w:ascii="仿宋_GB2312" w:hAnsi="仿宋" w:eastAsia="仿宋_GB2312" w:cs="仿宋"/>
          <w:color w:val="auto"/>
          <w:sz w:val="32"/>
          <w:szCs w:val="32"/>
          <w:highlight w:val="none"/>
          <w:lang w:val="en-US" w:eastAsia="zh-CN"/>
        </w:rPr>
        <w:t>116580</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，债务还本支出</w:t>
      </w:r>
      <w:r>
        <w:rPr>
          <w:rFonts w:hint="eastAsia" w:ascii="仿宋_GB2312" w:hAnsi="仿宋" w:eastAsia="仿宋_GB2312" w:cs="仿宋"/>
          <w:color w:val="auto"/>
          <w:sz w:val="32"/>
          <w:szCs w:val="32"/>
          <w:highlight w:val="none"/>
          <w:lang w:val="en-US" w:eastAsia="zh-CN"/>
        </w:rPr>
        <w:t>54952</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。收支相抵，预算平衡。</w:t>
      </w:r>
      <w:r>
        <w:rPr>
          <w:rFonts w:hint="eastAsia" w:ascii="仿宋_GB2312" w:hAnsi="仿宋" w:eastAsia="仿宋_GB2312" w:cs="仿宋"/>
          <w:color w:val="auto"/>
          <w:sz w:val="32"/>
          <w:szCs w:val="32"/>
          <w:highlight w:val="none"/>
          <w:lang w:val="en-US" w:eastAsia="zh-CN"/>
        </w:rPr>
        <w:t xml:space="preserve">  </w:t>
      </w:r>
    </w:p>
    <w:p>
      <w:pPr>
        <w:keepNext w:val="0"/>
        <w:keepLines w:val="0"/>
        <w:pageBreakBefore w:val="0"/>
        <w:kinsoku/>
        <w:wordWrap/>
        <w:overflowPunct/>
        <w:topLinePunct w:val="0"/>
        <w:autoSpaceDE/>
        <w:autoSpaceDN/>
        <w:bidi w:val="0"/>
        <w:snapToGrid w:val="0"/>
        <w:spacing w:line="560" w:lineRule="exact"/>
        <w:ind w:firstLine="643" w:firstLineChars="200"/>
        <w:textAlignment w:val="auto"/>
        <w:rPr>
          <w:rFonts w:hint="default" w:ascii="仿宋_GB2312" w:hAnsi="仿宋" w:eastAsia="仿宋_GB2312" w:cs="仿宋"/>
          <w:b/>
          <w:bCs/>
          <w:color w:val="auto"/>
          <w:sz w:val="32"/>
          <w:szCs w:val="32"/>
          <w:highlight w:val="none"/>
          <w:lang w:val="en-US" w:eastAsia="zh-CN"/>
        </w:rPr>
      </w:pPr>
      <w:r>
        <w:rPr>
          <w:rFonts w:hint="eastAsia" w:ascii="仿宋_GB2312" w:hAnsi="仿宋" w:eastAsia="仿宋_GB2312" w:cs="仿宋"/>
          <w:b/>
          <w:bCs/>
          <w:color w:val="auto"/>
          <w:sz w:val="32"/>
          <w:szCs w:val="32"/>
          <w:highlight w:val="none"/>
        </w:rPr>
        <w:t>3、社会保险基金预算草案</w:t>
      </w:r>
    </w:p>
    <w:p>
      <w:pPr>
        <w:keepNext w:val="0"/>
        <w:keepLines w:val="0"/>
        <w:pageBreakBefore w:val="0"/>
        <w:kinsoku/>
        <w:wordWrap/>
        <w:overflowPunct/>
        <w:topLinePunct w:val="0"/>
        <w:autoSpaceDE/>
        <w:autoSpaceDN/>
        <w:bidi w:val="0"/>
        <w:adjustRightInd w:val="0"/>
        <w:spacing w:line="560" w:lineRule="exact"/>
        <w:ind w:firstLine="640" w:firstLineChars="200"/>
        <w:textAlignment w:val="auto"/>
        <w:rPr>
          <w:rFonts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lang w:val="en-US" w:eastAsia="zh-CN"/>
        </w:rPr>
        <w:t>2021年企业职工养老保险基金划归省级统筹，城乡居民医疗保险基金划归市级统筹；2022年开始工伤保险基金划归市级统筹。2022年</w:t>
      </w:r>
      <w:r>
        <w:rPr>
          <w:rFonts w:hint="eastAsia" w:ascii="仿宋_GB2312" w:hAnsi="仿宋" w:eastAsia="仿宋_GB2312" w:cs="仿宋"/>
          <w:color w:val="auto"/>
          <w:sz w:val="32"/>
          <w:szCs w:val="32"/>
          <w:highlight w:val="none"/>
        </w:rPr>
        <w:t>社会保险基金收入总量为</w:t>
      </w:r>
      <w:r>
        <w:rPr>
          <w:rFonts w:hint="eastAsia" w:ascii="仿宋_GB2312" w:hAnsi="仿宋" w:eastAsia="仿宋_GB2312" w:cs="仿宋"/>
          <w:color w:val="auto"/>
          <w:sz w:val="32"/>
          <w:szCs w:val="32"/>
          <w:highlight w:val="none"/>
          <w:lang w:val="en-US" w:eastAsia="zh-CN"/>
        </w:rPr>
        <w:t>109301</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。其中：历年结余</w:t>
      </w:r>
      <w:r>
        <w:rPr>
          <w:rFonts w:hint="eastAsia" w:ascii="仿宋_GB2312" w:hAnsi="仿宋" w:eastAsia="仿宋_GB2312" w:cs="仿宋"/>
          <w:color w:val="auto"/>
          <w:sz w:val="32"/>
          <w:szCs w:val="32"/>
          <w:highlight w:val="none"/>
          <w:lang w:val="en-US" w:eastAsia="zh-CN"/>
        </w:rPr>
        <w:t>46262</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，当年收入</w:t>
      </w:r>
      <w:r>
        <w:rPr>
          <w:rFonts w:hint="eastAsia" w:ascii="仿宋_GB2312" w:hAnsi="仿宋" w:eastAsia="仿宋_GB2312" w:cs="仿宋"/>
          <w:color w:val="auto"/>
          <w:sz w:val="32"/>
          <w:szCs w:val="32"/>
          <w:highlight w:val="none"/>
          <w:lang w:val="en-US" w:eastAsia="zh-CN"/>
        </w:rPr>
        <w:t>63039</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；支出总量5</w:t>
      </w:r>
      <w:r>
        <w:rPr>
          <w:rFonts w:hint="eastAsia" w:ascii="仿宋_GB2312" w:hAnsi="仿宋" w:eastAsia="仿宋_GB2312" w:cs="仿宋"/>
          <w:color w:val="auto"/>
          <w:sz w:val="32"/>
          <w:szCs w:val="32"/>
          <w:highlight w:val="none"/>
          <w:lang w:val="en-US" w:eastAsia="zh-CN"/>
        </w:rPr>
        <w:t>6938</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收支相抵，滚存结余</w:t>
      </w:r>
      <w:r>
        <w:rPr>
          <w:rFonts w:hint="eastAsia" w:ascii="仿宋_GB2312" w:hAnsi="仿宋" w:eastAsia="仿宋_GB2312" w:cs="仿宋"/>
          <w:color w:val="auto"/>
          <w:sz w:val="32"/>
          <w:szCs w:val="32"/>
          <w:highlight w:val="none"/>
          <w:lang w:val="en-US" w:eastAsia="zh-CN"/>
        </w:rPr>
        <w:t>52363</w:t>
      </w:r>
      <w:r>
        <w:rPr>
          <w:rFonts w:hint="eastAsia" w:ascii="仿宋_GB2312" w:hAnsi="仿宋" w:eastAsia="仿宋_GB2312" w:cs="仿宋"/>
          <w:color w:val="auto"/>
          <w:sz w:val="32"/>
          <w:szCs w:val="32"/>
          <w:highlight w:val="none"/>
          <w:lang w:eastAsia="zh-CN"/>
        </w:rPr>
        <w:t>万元</w:t>
      </w:r>
      <w:r>
        <w:rPr>
          <w:rFonts w:hint="eastAsia" w:ascii="仿宋_GB2312" w:hAnsi="仿宋" w:eastAsia="仿宋_GB2312" w:cs="仿宋"/>
          <w:color w:val="auto"/>
          <w:sz w:val="32"/>
          <w:szCs w:val="32"/>
          <w:highlight w:val="none"/>
        </w:rPr>
        <w:t>。</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hint="eastAsia"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主要项目收支情况：城乡居民基本养老保险基金收入14586万元，其中社会保险费收入3614万元，财政补贴收入10496万元，利息收入464万元，转移收入12万元；支出1134</w:t>
      </w:r>
      <w:r>
        <w:rPr>
          <w:rFonts w:hint="eastAsia" w:ascii="仿宋_GB2312" w:hAnsi="仿宋" w:eastAsia="仿宋_GB2312" w:cs="仿宋"/>
          <w:color w:val="auto"/>
          <w:sz w:val="32"/>
          <w:szCs w:val="32"/>
          <w:highlight w:val="none"/>
          <w:lang w:val="en-US" w:eastAsia="zh-CN"/>
        </w:rPr>
        <w:t>4</w:t>
      </w:r>
      <w:r>
        <w:rPr>
          <w:rFonts w:hint="eastAsia" w:ascii="仿宋_GB2312" w:hAnsi="仿宋" w:eastAsia="仿宋_GB2312" w:cs="仿宋"/>
          <w:color w:val="auto"/>
          <w:sz w:val="32"/>
          <w:szCs w:val="32"/>
          <w:highlight w:val="none"/>
        </w:rPr>
        <w:t>万元，其中社会保险待遇支出1131</w:t>
      </w:r>
      <w:r>
        <w:rPr>
          <w:rFonts w:hint="eastAsia" w:ascii="仿宋_GB2312" w:hAnsi="仿宋" w:eastAsia="仿宋_GB2312" w:cs="仿宋"/>
          <w:color w:val="auto"/>
          <w:sz w:val="32"/>
          <w:szCs w:val="32"/>
          <w:highlight w:val="none"/>
          <w:lang w:val="en-US" w:eastAsia="zh-CN"/>
        </w:rPr>
        <w:t>2</w:t>
      </w:r>
      <w:r>
        <w:rPr>
          <w:rFonts w:hint="eastAsia" w:ascii="仿宋_GB2312" w:hAnsi="仿宋" w:eastAsia="仿宋_GB2312" w:cs="仿宋"/>
          <w:color w:val="auto"/>
          <w:sz w:val="32"/>
          <w:szCs w:val="32"/>
          <w:highlight w:val="none"/>
        </w:rPr>
        <w:t>万元，转移支出32万元，本年收支结余324</w:t>
      </w:r>
      <w:r>
        <w:rPr>
          <w:rFonts w:hint="eastAsia" w:ascii="仿宋_GB2312" w:hAnsi="仿宋" w:eastAsia="仿宋_GB2312" w:cs="仿宋"/>
          <w:color w:val="auto"/>
          <w:sz w:val="32"/>
          <w:szCs w:val="32"/>
          <w:highlight w:val="none"/>
          <w:lang w:val="en-US" w:eastAsia="zh-CN"/>
        </w:rPr>
        <w:t>2</w:t>
      </w:r>
      <w:r>
        <w:rPr>
          <w:rFonts w:hint="eastAsia" w:ascii="仿宋_GB2312" w:hAnsi="仿宋" w:eastAsia="仿宋_GB2312" w:cs="仿宋"/>
          <w:color w:val="auto"/>
          <w:sz w:val="32"/>
          <w:szCs w:val="32"/>
          <w:highlight w:val="none"/>
        </w:rPr>
        <w:t>万元。</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hint="eastAsia"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城镇职工基本医疗保险基金收入14073万元，其中社会保险费收入13709万元，财政补贴收入68万元，利息收入183万元，转移收入113万元；支出</w:t>
      </w:r>
      <w:r>
        <w:rPr>
          <w:rFonts w:hint="eastAsia" w:ascii="仿宋_GB2312" w:hAnsi="仿宋" w:eastAsia="仿宋_GB2312" w:cs="仿宋"/>
          <w:color w:val="auto"/>
          <w:sz w:val="32"/>
          <w:szCs w:val="32"/>
          <w:highlight w:val="none"/>
          <w:lang w:val="en-US" w:eastAsia="zh-CN"/>
        </w:rPr>
        <w:t>11215</w:t>
      </w:r>
      <w:r>
        <w:rPr>
          <w:rFonts w:hint="eastAsia" w:ascii="仿宋_GB2312" w:hAnsi="仿宋" w:eastAsia="仿宋_GB2312" w:cs="仿宋"/>
          <w:color w:val="auto"/>
          <w:sz w:val="32"/>
          <w:szCs w:val="32"/>
          <w:highlight w:val="none"/>
        </w:rPr>
        <w:t>万元，其中社会保险待遇支出</w:t>
      </w:r>
      <w:r>
        <w:rPr>
          <w:rFonts w:hint="eastAsia" w:ascii="仿宋_GB2312" w:hAnsi="仿宋" w:eastAsia="仿宋_GB2312" w:cs="仿宋"/>
          <w:color w:val="auto"/>
          <w:sz w:val="32"/>
          <w:szCs w:val="32"/>
          <w:highlight w:val="none"/>
          <w:lang w:val="en-US" w:eastAsia="zh-CN"/>
        </w:rPr>
        <w:t>10905</w:t>
      </w:r>
      <w:r>
        <w:rPr>
          <w:rFonts w:hint="eastAsia" w:ascii="仿宋_GB2312" w:hAnsi="仿宋" w:eastAsia="仿宋_GB2312" w:cs="仿宋"/>
          <w:color w:val="auto"/>
          <w:sz w:val="32"/>
          <w:szCs w:val="32"/>
          <w:highlight w:val="none"/>
        </w:rPr>
        <w:t>万元，转移支出126万元，其他支出184万元，本年收支结余</w:t>
      </w:r>
      <w:r>
        <w:rPr>
          <w:rFonts w:hint="eastAsia" w:ascii="仿宋_GB2312" w:hAnsi="仿宋" w:eastAsia="仿宋_GB2312" w:cs="仿宋"/>
          <w:color w:val="auto"/>
          <w:sz w:val="32"/>
          <w:szCs w:val="32"/>
          <w:highlight w:val="none"/>
          <w:lang w:val="en-US" w:eastAsia="zh-CN"/>
        </w:rPr>
        <w:t>2858</w:t>
      </w:r>
      <w:r>
        <w:rPr>
          <w:rFonts w:hint="eastAsia" w:ascii="仿宋_GB2312" w:hAnsi="仿宋" w:eastAsia="仿宋_GB2312" w:cs="仿宋"/>
          <w:color w:val="auto"/>
          <w:sz w:val="32"/>
          <w:szCs w:val="32"/>
          <w:highlight w:val="none"/>
        </w:rPr>
        <w:t>万元。</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rPr>
        <w:t>失业保险基金收入146</w:t>
      </w:r>
      <w:r>
        <w:rPr>
          <w:rFonts w:hint="eastAsia" w:ascii="仿宋_GB2312" w:hAnsi="仿宋" w:eastAsia="仿宋_GB2312" w:cs="仿宋"/>
          <w:color w:val="auto"/>
          <w:sz w:val="32"/>
          <w:szCs w:val="32"/>
          <w:highlight w:val="none"/>
          <w:lang w:val="en-US" w:eastAsia="zh-CN"/>
        </w:rPr>
        <w:t>4</w:t>
      </w:r>
      <w:r>
        <w:rPr>
          <w:rFonts w:hint="eastAsia" w:ascii="仿宋_GB2312" w:hAnsi="仿宋" w:eastAsia="仿宋_GB2312" w:cs="仿宋"/>
          <w:color w:val="auto"/>
          <w:sz w:val="32"/>
          <w:szCs w:val="32"/>
          <w:highlight w:val="none"/>
        </w:rPr>
        <w:t>万元，其中社会保险费收入1140万元，财政补贴收入25</w:t>
      </w:r>
      <w:r>
        <w:rPr>
          <w:rFonts w:hint="eastAsia" w:ascii="仿宋_GB2312" w:hAnsi="仿宋" w:eastAsia="仿宋_GB2312" w:cs="仿宋"/>
          <w:color w:val="auto"/>
          <w:sz w:val="32"/>
          <w:szCs w:val="32"/>
          <w:highlight w:val="none"/>
          <w:lang w:val="en-US" w:eastAsia="zh-CN"/>
        </w:rPr>
        <w:t>4</w:t>
      </w:r>
      <w:r>
        <w:rPr>
          <w:rFonts w:hint="eastAsia" w:ascii="仿宋_GB2312" w:hAnsi="仿宋" w:eastAsia="仿宋_GB2312" w:cs="仿宋"/>
          <w:color w:val="auto"/>
          <w:sz w:val="32"/>
          <w:szCs w:val="32"/>
          <w:highlight w:val="none"/>
        </w:rPr>
        <w:t>万元，利息收入11万元，转移收入4万元，其他收入1万元，上级补助收入54万元；支出1463万元，其中社会保险费待遇支出1169万元，技能提升补贴支出240万元，上解上级支出54万元</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本年收支结余</w:t>
      </w:r>
      <w:r>
        <w:rPr>
          <w:rFonts w:hint="eastAsia" w:ascii="仿宋_GB2312" w:hAnsi="仿宋" w:eastAsia="仿宋_GB2312" w:cs="仿宋"/>
          <w:color w:val="auto"/>
          <w:sz w:val="32"/>
          <w:szCs w:val="32"/>
          <w:highlight w:val="none"/>
          <w:lang w:val="en-US" w:eastAsia="zh-CN"/>
        </w:rPr>
        <w:t>1</w:t>
      </w:r>
      <w:r>
        <w:rPr>
          <w:rFonts w:hint="eastAsia" w:ascii="仿宋_GB2312" w:hAnsi="仿宋" w:eastAsia="仿宋_GB2312" w:cs="仿宋"/>
          <w:color w:val="auto"/>
          <w:sz w:val="32"/>
          <w:szCs w:val="32"/>
          <w:highlight w:val="none"/>
        </w:rPr>
        <w:t>万元。</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hint="eastAsia"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机关事业养老保险</w:t>
      </w:r>
      <w:bookmarkStart w:id="1" w:name="_GoBack"/>
      <w:bookmarkEnd w:id="1"/>
      <w:r>
        <w:rPr>
          <w:rFonts w:hint="eastAsia" w:ascii="仿宋_GB2312" w:hAnsi="仿宋" w:eastAsia="仿宋_GB2312" w:cs="仿宋"/>
          <w:color w:val="auto"/>
          <w:sz w:val="32"/>
          <w:szCs w:val="32"/>
          <w:highlight w:val="none"/>
        </w:rPr>
        <w:t>收入32916万元，其中社会保险费收入14508万元，财政补贴收入18252万元，利息收入6万元，转移收入150万元；支出32916万元，其中社会保险待遇支出32386万元，转移支出530万元。</w:t>
      </w:r>
    </w:p>
    <w:p>
      <w:pPr>
        <w:keepNext w:val="0"/>
        <w:keepLines w:val="0"/>
        <w:pageBreakBefore w:val="0"/>
        <w:kinsoku/>
        <w:wordWrap/>
        <w:overflowPunct/>
        <w:topLinePunct w:val="0"/>
        <w:autoSpaceDE/>
        <w:autoSpaceDN/>
        <w:bidi w:val="0"/>
        <w:snapToGrid w:val="0"/>
        <w:spacing w:line="560" w:lineRule="exact"/>
        <w:ind w:firstLine="643" w:firstLineChars="200"/>
        <w:textAlignment w:val="auto"/>
        <w:rPr>
          <w:rFonts w:ascii="仿宋_GB2312" w:hAnsi="仿宋" w:eastAsia="仿宋_GB2312" w:cs="仿宋"/>
          <w:b/>
          <w:bCs/>
          <w:color w:val="auto"/>
          <w:sz w:val="32"/>
          <w:szCs w:val="32"/>
          <w:highlight w:val="none"/>
        </w:rPr>
      </w:pPr>
      <w:r>
        <w:rPr>
          <w:rFonts w:hint="eastAsia" w:ascii="仿宋_GB2312" w:hAnsi="仿宋" w:eastAsia="仿宋_GB2312" w:cs="仿宋"/>
          <w:b/>
          <w:bCs/>
          <w:color w:val="auto"/>
          <w:sz w:val="32"/>
          <w:szCs w:val="32"/>
          <w:highlight w:val="none"/>
        </w:rPr>
        <w:t>4、国有资本经营预算草案</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hint="eastAsia" w:ascii="仿宋_GB2312" w:eastAsia="仿宋_GB2312"/>
          <w:color w:val="auto"/>
          <w:sz w:val="32"/>
          <w:szCs w:val="32"/>
          <w:highlight w:val="none"/>
        </w:rPr>
      </w:pPr>
      <w:r>
        <w:rPr>
          <w:rFonts w:hint="eastAsia" w:ascii="仿宋_GB2312" w:hAnsi="仿宋" w:eastAsia="仿宋_GB2312" w:cs="仿宋"/>
          <w:color w:val="auto"/>
          <w:sz w:val="32"/>
          <w:szCs w:val="32"/>
          <w:highlight w:val="none"/>
        </w:rPr>
        <w:t>国有资本经营预算总收入</w:t>
      </w:r>
      <w:r>
        <w:rPr>
          <w:rFonts w:hint="eastAsia" w:ascii="仿宋_GB2312" w:hAnsi="仿宋" w:eastAsia="仿宋_GB2312" w:cs="仿宋"/>
          <w:color w:val="auto"/>
          <w:sz w:val="32"/>
          <w:szCs w:val="32"/>
          <w:highlight w:val="none"/>
          <w:lang w:val="en-US" w:eastAsia="zh-CN"/>
        </w:rPr>
        <w:t>707</w:t>
      </w:r>
      <w:r>
        <w:rPr>
          <w:rFonts w:hint="eastAsia" w:ascii="仿宋_GB2312" w:hAnsi="仿宋" w:eastAsia="仿宋_GB2312" w:cs="仿宋"/>
          <w:color w:val="auto"/>
          <w:sz w:val="32"/>
          <w:szCs w:val="32"/>
          <w:highlight w:val="none"/>
        </w:rPr>
        <w:t>万元，其中：利润收入</w:t>
      </w:r>
      <w:r>
        <w:rPr>
          <w:rFonts w:hint="eastAsia" w:ascii="仿宋_GB2312" w:hAnsi="仿宋" w:eastAsia="仿宋_GB2312" w:cs="仿宋"/>
          <w:color w:val="auto"/>
          <w:sz w:val="32"/>
          <w:szCs w:val="32"/>
          <w:highlight w:val="none"/>
          <w:lang w:val="en-US" w:eastAsia="zh-CN"/>
        </w:rPr>
        <w:t>447</w:t>
      </w:r>
      <w:r>
        <w:rPr>
          <w:rFonts w:hint="eastAsia" w:ascii="仿宋_GB2312" w:hAnsi="仿宋" w:eastAsia="仿宋_GB2312" w:cs="仿宋"/>
          <w:color w:val="auto"/>
          <w:sz w:val="32"/>
          <w:szCs w:val="32"/>
          <w:highlight w:val="none"/>
        </w:rPr>
        <w:t>万元，股利股息收入23</w:t>
      </w:r>
      <w:r>
        <w:rPr>
          <w:rFonts w:hint="eastAsia" w:ascii="仿宋_GB2312" w:hAnsi="仿宋" w:eastAsia="仿宋_GB2312" w:cs="仿宋"/>
          <w:color w:val="auto"/>
          <w:sz w:val="32"/>
          <w:szCs w:val="32"/>
          <w:highlight w:val="none"/>
          <w:lang w:val="en-US" w:eastAsia="zh-CN"/>
        </w:rPr>
        <w:t>8</w:t>
      </w:r>
      <w:r>
        <w:rPr>
          <w:rFonts w:hint="eastAsia" w:ascii="仿宋_GB2312" w:hAnsi="仿宋" w:eastAsia="仿宋_GB2312" w:cs="仿宋"/>
          <w:color w:val="auto"/>
          <w:sz w:val="32"/>
          <w:szCs w:val="32"/>
          <w:highlight w:val="none"/>
        </w:rPr>
        <w:t>万元</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lang w:val="en-US" w:eastAsia="zh-CN"/>
        </w:rPr>
        <w:t>上年结转22万元</w:t>
      </w:r>
      <w:r>
        <w:rPr>
          <w:rFonts w:hint="eastAsia" w:ascii="仿宋_GB2312" w:hAnsi="仿宋" w:eastAsia="仿宋_GB2312" w:cs="仿宋"/>
          <w:color w:val="auto"/>
          <w:sz w:val="32"/>
          <w:szCs w:val="32"/>
          <w:highlight w:val="none"/>
        </w:rPr>
        <w:t>。国有资本经营预算总支出</w:t>
      </w:r>
      <w:r>
        <w:rPr>
          <w:rFonts w:hint="eastAsia" w:ascii="仿宋_GB2312" w:hAnsi="仿宋" w:eastAsia="仿宋_GB2312" w:cs="仿宋"/>
          <w:color w:val="auto"/>
          <w:sz w:val="32"/>
          <w:szCs w:val="32"/>
          <w:highlight w:val="none"/>
          <w:lang w:val="en-US" w:eastAsia="zh-CN"/>
        </w:rPr>
        <w:t>707</w:t>
      </w:r>
      <w:r>
        <w:rPr>
          <w:rFonts w:hint="eastAsia" w:ascii="仿宋_GB2312" w:hAnsi="仿宋" w:eastAsia="仿宋_GB2312" w:cs="仿宋"/>
          <w:color w:val="auto"/>
          <w:sz w:val="32"/>
          <w:szCs w:val="32"/>
          <w:highlight w:val="none"/>
        </w:rPr>
        <w:t>万元，其中</w:t>
      </w:r>
      <w:r>
        <w:rPr>
          <w:rFonts w:hint="eastAsia" w:ascii="仿宋_GB2312" w:hAnsi="仿宋" w:eastAsia="仿宋_GB2312" w:cs="仿宋"/>
          <w:color w:val="auto"/>
          <w:sz w:val="32"/>
          <w:szCs w:val="32"/>
          <w:highlight w:val="none"/>
          <w:lang w:eastAsia="zh-CN"/>
        </w:rPr>
        <w:t>：解决历史遗留及改革成本支出</w:t>
      </w:r>
      <w:r>
        <w:rPr>
          <w:rFonts w:hint="eastAsia" w:ascii="仿宋_GB2312" w:hAnsi="仿宋" w:eastAsia="仿宋_GB2312" w:cs="仿宋"/>
          <w:color w:val="auto"/>
          <w:sz w:val="32"/>
          <w:szCs w:val="32"/>
          <w:highlight w:val="none"/>
          <w:lang w:val="en-US" w:eastAsia="zh-CN"/>
        </w:rPr>
        <w:t>22万元，</w:t>
      </w:r>
      <w:r>
        <w:rPr>
          <w:rFonts w:hint="eastAsia" w:ascii="仿宋_GB2312" w:hAnsi="仿宋" w:eastAsia="仿宋_GB2312" w:cs="仿宋"/>
          <w:color w:val="auto"/>
          <w:sz w:val="32"/>
          <w:szCs w:val="32"/>
          <w:highlight w:val="none"/>
        </w:rPr>
        <w:t>安排资本金支出</w:t>
      </w:r>
      <w:r>
        <w:rPr>
          <w:rFonts w:hint="eastAsia" w:ascii="仿宋_GB2312" w:hAnsi="仿宋" w:eastAsia="仿宋_GB2312" w:cs="仿宋"/>
          <w:color w:val="auto"/>
          <w:sz w:val="32"/>
          <w:szCs w:val="32"/>
          <w:highlight w:val="none"/>
          <w:lang w:val="en-US" w:eastAsia="zh-CN"/>
        </w:rPr>
        <w:t>372</w:t>
      </w:r>
      <w:r>
        <w:rPr>
          <w:rFonts w:hint="eastAsia" w:ascii="仿宋_GB2312" w:hAnsi="仿宋" w:eastAsia="仿宋_GB2312" w:cs="仿宋"/>
          <w:color w:val="auto"/>
          <w:sz w:val="32"/>
          <w:szCs w:val="32"/>
          <w:highlight w:val="none"/>
        </w:rPr>
        <w:t>万元</w:t>
      </w:r>
      <w:r>
        <w:rPr>
          <w:rFonts w:hint="eastAsia" w:ascii="仿宋_GB2312" w:hAnsi="仿宋" w:eastAsia="仿宋_GB2312" w:cs="仿宋"/>
          <w:color w:val="auto"/>
          <w:sz w:val="32"/>
          <w:szCs w:val="32"/>
          <w:highlight w:val="none"/>
          <w:lang w:eastAsia="zh-CN"/>
        </w:rPr>
        <w:t>，其他国有资本经营预算支出</w:t>
      </w:r>
      <w:r>
        <w:rPr>
          <w:rFonts w:hint="eastAsia" w:ascii="仿宋_GB2312" w:hAnsi="仿宋" w:eastAsia="仿宋_GB2312" w:cs="仿宋"/>
          <w:color w:val="auto"/>
          <w:sz w:val="32"/>
          <w:szCs w:val="32"/>
          <w:highlight w:val="none"/>
          <w:lang w:val="en-US" w:eastAsia="zh-CN"/>
        </w:rPr>
        <w:t>75万元，</w:t>
      </w:r>
      <w:r>
        <w:rPr>
          <w:rFonts w:hint="eastAsia" w:ascii="仿宋_GB2312" w:hAnsi="仿宋" w:eastAsia="仿宋_GB2312" w:cs="仿宋"/>
          <w:color w:val="auto"/>
          <w:sz w:val="32"/>
          <w:szCs w:val="32"/>
          <w:highlight w:val="none"/>
        </w:rPr>
        <w:t>调入公共预算23</w:t>
      </w:r>
      <w:r>
        <w:rPr>
          <w:rFonts w:hint="eastAsia" w:ascii="仿宋_GB2312" w:hAnsi="仿宋" w:eastAsia="仿宋_GB2312" w:cs="仿宋"/>
          <w:color w:val="auto"/>
          <w:sz w:val="32"/>
          <w:szCs w:val="32"/>
          <w:highlight w:val="none"/>
          <w:lang w:val="en-US" w:eastAsia="zh-CN"/>
        </w:rPr>
        <w:t>8</w:t>
      </w:r>
      <w:r>
        <w:rPr>
          <w:rFonts w:hint="eastAsia" w:ascii="仿宋_GB2312" w:hAnsi="仿宋" w:eastAsia="仿宋_GB2312" w:cs="仿宋"/>
          <w:color w:val="auto"/>
          <w:sz w:val="32"/>
          <w:szCs w:val="32"/>
          <w:highlight w:val="none"/>
        </w:rPr>
        <w:t>万元。</w:t>
      </w:r>
      <w:r>
        <w:rPr>
          <w:rFonts w:hint="eastAsia" w:ascii="仿宋_GB2312" w:eastAsia="仿宋_GB2312"/>
          <w:color w:val="auto"/>
          <w:sz w:val="32"/>
          <w:szCs w:val="32"/>
          <w:highlight w:val="none"/>
        </w:rPr>
        <w:t>收支相抵，预算平衡。</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ascii="黑体" w:hAnsi="黑体" w:eastAsia="黑体"/>
          <w:color w:val="auto"/>
          <w:sz w:val="32"/>
          <w:szCs w:val="32"/>
          <w:highlight w:val="none"/>
        </w:rPr>
      </w:pPr>
      <w:r>
        <w:rPr>
          <w:rFonts w:hint="eastAsia" w:ascii="黑体" w:hAnsi="黑体" w:eastAsia="黑体"/>
          <w:color w:val="auto"/>
          <w:sz w:val="32"/>
          <w:szCs w:val="32"/>
          <w:highlight w:val="none"/>
          <w:lang w:eastAsia="zh-CN"/>
        </w:rPr>
        <w:t>三、</w:t>
      </w:r>
      <w:r>
        <w:rPr>
          <w:rFonts w:hint="eastAsia" w:ascii="黑体" w:hAnsi="黑体" w:eastAsia="黑体"/>
          <w:color w:val="auto"/>
          <w:sz w:val="32"/>
          <w:szCs w:val="32"/>
          <w:highlight w:val="none"/>
        </w:rPr>
        <w:t>完成202</w:t>
      </w:r>
      <w:r>
        <w:rPr>
          <w:rFonts w:hint="eastAsia" w:ascii="黑体" w:hAnsi="黑体" w:eastAsia="黑体"/>
          <w:color w:val="auto"/>
          <w:sz w:val="32"/>
          <w:szCs w:val="32"/>
          <w:highlight w:val="none"/>
          <w:lang w:val="en-US" w:eastAsia="zh-CN"/>
        </w:rPr>
        <w:t>2</w:t>
      </w:r>
      <w:r>
        <w:rPr>
          <w:rFonts w:hint="eastAsia" w:ascii="黑体" w:hAnsi="黑体" w:eastAsia="黑体"/>
          <w:color w:val="auto"/>
          <w:sz w:val="32"/>
          <w:szCs w:val="32"/>
          <w:highlight w:val="none"/>
        </w:rPr>
        <w:t>年预算目标的主要措施</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eastAsia="zh-CN"/>
        </w:rPr>
        <w:t>2022年，预算工作坚持以习近平新时代中国特色社会主义思想为指导，贯彻落实县委各项决策部署，以建立健全现代财政制度、巩固提升财政服务大局和保障发展能力为重点，坚持稳中求进、攻坚破难，全面深化财政改革，切实加强财政管理和服务，助力全县经济社会高质量发展。</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lang w:eastAsia="zh-CN"/>
        </w:rPr>
        <w:t>（一）强化财源建设，紧扣财政工作“主旋律”。</w:t>
      </w:r>
    </w:p>
    <w:p>
      <w:pPr>
        <w:keepNext w:val="0"/>
        <w:keepLines w:val="0"/>
        <w:pageBreakBefore w:val="0"/>
        <w:kinsoku/>
        <w:wordWrap/>
        <w:overflowPunct/>
        <w:topLinePunct w:val="0"/>
        <w:autoSpaceDE/>
        <w:autoSpaceDN/>
        <w:bidi w:val="0"/>
        <w:snapToGrid w:val="0"/>
        <w:spacing w:line="560" w:lineRule="exact"/>
        <w:ind w:firstLine="643" w:firstLineChars="200"/>
        <w:textAlignment w:val="auto"/>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b/>
          <w:bCs/>
          <w:color w:val="auto"/>
          <w:sz w:val="32"/>
          <w:szCs w:val="32"/>
          <w:highlight w:val="none"/>
          <w:lang w:eastAsia="zh-CN"/>
        </w:rPr>
        <w:t>一是</w:t>
      </w:r>
      <w:r>
        <w:rPr>
          <w:rFonts w:hint="eastAsia" w:ascii="仿宋_GB2312" w:hAnsi="仿宋" w:eastAsia="仿宋_GB2312" w:cs="仿宋"/>
          <w:color w:val="auto"/>
          <w:sz w:val="32"/>
          <w:szCs w:val="32"/>
          <w:highlight w:val="none"/>
          <w:lang w:eastAsia="zh-CN"/>
        </w:rPr>
        <w:t>加强财源培植。进一步强化税收征管，确保收入均衡入库。借助全员招商工作契机，将引得进、稳得住、可增效的企业引进来，发挥财政资金四两拨千斤的杠杆作用，壮大地方可用财力。</w:t>
      </w:r>
      <w:r>
        <w:rPr>
          <w:rFonts w:hint="eastAsia" w:ascii="仿宋_GB2312" w:hAnsi="仿宋" w:eastAsia="仿宋_GB2312" w:cs="仿宋"/>
          <w:b/>
          <w:bCs/>
          <w:color w:val="auto"/>
          <w:sz w:val="32"/>
          <w:szCs w:val="32"/>
          <w:highlight w:val="none"/>
          <w:lang w:eastAsia="zh-CN"/>
        </w:rPr>
        <w:t>二是</w:t>
      </w:r>
      <w:r>
        <w:rPr>
          <w:rFonts w:hint="eastAsia" w:ascii="仿宋_GB2312" w:hAnsi="仿宋" w:eastAsia="仿宋_GB2312" w:cs="仿宋"/>
          <w:color w:val="auto"/>
          <w:sz w:val="32"/>
          <w:szCs w:val="32"/>
          <w:highlight w:val="none"/>
          <w:lang w:eastAsia="zh-CN"/>
        </w:rPr>
        <w:t>加强协调争取。增强财政与金融机构之间的联动，充分发挥财政存款与金融贷款对经济社会发展的推动作用，利用财政资金撬动金融机构服务地方经济发展的能力。争取中石油、中石化、中国烟草等中央、省企业在本地增加缴税额度，增加税收来源，补充地方收入。</w:t>
      </w:r>
      <w:r>
        <w:rPr>
          <w:rFonts w:hint="eastAsia" w:ascii="仿宋_GB2312" w:hAnsi="仿宋" w:eastAsia="仿宋_GB2312" w:cs="仿宋"/>
          <w:b/>
          <w:bCs/>
          <w:color w:val="auto"/>
          <w:sz w:val="32"/>
          <w:szCs w:val="32"/>
          <w:highlight w:val="none"/>
          <w:lang w:eastAsia="zh-CN"/>
        </w:rPr>
        <w:t>三是</w:t>
      </w:r>
      <w:r>
        <w:rPr>
          <w:rFonts w:hint="eastAsia" w:ascii="仿宋_GB2312" w:hAnsi="仿宋" w:eastAsia="仿宋_GB2312" w:cs="仿宋"/>
          <w:color w:val="auto"/>
          <w:sz w:val="32"/>
          <w:szCs w:val="32"/>
          <w:highlight w:val="none"/>
          <w:lang w:eastAsia="zh-CN"/>
        </w:rPr>
        <w:t>加强协税护税。修改完善协税护税管理办法，鼓励大型商超、建筑企业在本地注册分公司，形成综合治税合力。</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lang w:eastAsia="zh-CN"/>
        </w:rPr>
        <w:t>（二）坚持服务大局，着力解决资金保障“关键题”。</w:t>
      </w:r>
    </w:p>
    <w:p>
      <w:pPr>
        <w:pStyle w:val="5"/>
        <w:keepNext w:val="0"/>
        <w:keepLines w:val="0"/>
        <w:pageBreakBefore w:val="0"/>
        <w:kinsoku/>
        <w:wordWrap/>
        <w:overflowPunct/>
        <w:topLinePunct w:val="0"/>
        <w:autoSpaceDE/>
        <w:autoSpaceDN/>
        <w:bidi w:val="0"/>
        <w:spacing w:line="560" w:lineRule="exact"/>
        <w:rPr>
          <w:rFonts w:hint="eastAsia"/>
          <w:color w:val="auto"/>
          <w:highlight w:val="none"/>
          <w:lang w:val="en-US" w:eastAsia="zh-CN"/>
        </w:rPr>
      </w:pPr>
      <w:r>
        <w:rPr>
          <w:rFonts w:hint="eastAsia"/>
          <w:b/>
          <w:bCs/>
          <w:color w:val="auto"/>
          <w:lang w:val="en-US" w:eastAsia="zh-CN"/>
        </w:rPr>
        <w:t>一是</w:t>
      </w:r>
      <w:r>
        <w:rPr>
          <w:rFonts w:hint="eastAsia"/>
          <w:color w:val="auto"/>
          <w:lang w:val="en-US" w:eastAsia="zh-CN"/>
        </w:rPr>
        <w:t>积极向上争取资金。准确把握中央、省相关政策调控方向，积极主动取得联系，深入挖掘政策潜力，聚焦政府债券重点支持领域，谋划一批重点项目，做好债券项目储备，力争债券资金达到13亿元。</w:t>
      </w:r>
      <w:r>
        <w:rPr>
          <w:rFonts w:hint="eastAsia"/>
          <w:b/>
          <w:bCs/>
          <w:color w:val="auto"/>
          <w:highlight w:val="none"/>
          <w:lang w:val="en-US" w:eastAsia="zh-CN"/>
        </w:rPr>
        <w:t>二是</w:t>
      </w:r>
      <w:r>
        <w:rPr>
          <w:rFonts w:hint="eastAsia"/>
          <w:color w:val="auto"/>
          <w:highlight w:val="none"/>
          <w:lang w:val="en-US" w:eastAsia="zh-CN"/>
        </w:rPr>
        <w:t>集中财力办大事。聚焦县委、县政府重大决策部署，为建设“四县四区”提供资金保障。</w:t>
      </w:r>
      <w:r>
        <w:rPr>
          <w:rFonts w:hint="eastAsia"/>
          <w:b/>
          <w:bCs/>
          <w:color w:val="auto"/>
          <w:highlight w:val="none"/>
          <w:lang w:val="en-US" w:eastAsia="zh-CN"/>
        </w:rPr>
        <w:t>三是</w:t>
      </w:r>
      <w:r>
        <w:rPr>
          <w:rFonts w:hint="eastAsia"/>
          <w:color w:val="auto"/>
          <w:highlight w:val="none"/>
          <w:lang w:val="en-US" w:eastAsia="zh-CN"/>
        </w:rPr>
        <w:t>统筹财力保民生。对国家、省出台的民生支出政策，做到“应保必保”；对本级地方出台的民生支出政策，坚持“量力而行”与“尽力而为”相结合，与财力保障水平相匹配，通过政策评估等方式确定合理的支出标准与稳定的保障机制，提高民生政策的可持续性。</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（三）推动改革创新，持续做好提质增效“大文章”。</w:t>
      </w:r>
    </w:p>
    <w:p>
      <w:pPr>
        <w:keepNext w:val="0"/>
        <w:keepLines w:val="0"/>
        <w:pageBreakBefore w:val="0"/>
        <w:kinsoku/>
        <w:wordWrap/>
        <w:overflowPunct/>
        <w:topLinePunct w:val="0"/>
        <w:autoSpaceDE/>
        <w:autoSpaceDN/>
        <w:bidi w:val="0"/>
        <w:spacing w:line="560" w:lineRule="exact"/>
        <w:ind w:firstLine="643" w:firstLineChars="200"/>
        <w:textAlignment w:val="auto"/>
        <w:rPr>
          <w:rFonts w:hint="eastAsia" w:ascii="仿宋_GB2312" w:eastAsia="仿宋_GB2312"/>
          <w:color w:val="auto"/>
          <w:sz w:val="32"/>
          <w:szCs w:val="32"/>
          <w:highlight w:val="none"/>
          <w:lang w:eastAsia="zh-CN"/>
        </w:rPr>
      </w:pPr>
      <w:r>
        <w:rPr>
          <w:rFonts w:hint="eastAsia" w:ascii="仿宋_GB2312" w:hAnsi="仿宋_GB2312" w:eastAsia="仿宋_GB2312" w:cs="仿宋_GB2312"/>
          <w:b/>
          <w:bCs/>
          <w:color w:val="auto"/>
          <w:sz w:val="32"/>
          <w:szCs w:val="32"/>
          <w:highlight w:val="none"/>
          <w:lang w:eastAsia="zh-CN"/>
        </w:rPr>
        <w:t>一是</w:t>
      </w:r>
      <w:r>
        <w:rPr>
          <w:rFonts w:hint="eastAsia" w:ascii="仿宋_GB2312" w:hAnsi="仿宋_GB2312" w:eastAsia="仿宋_GB2312" w:cs="仿宋_GB2312"/>
          <w:color w:val="auto"/>
          <w:sz w:val="32"/>
          <w:szCs w:val="32"/>
          <w:highlight w:val="none"/>
          <w:lang w:eastAsia="zh-CN"/>
        </w:rPr>
        <w:t>全面深化预算管理一体化改革。</w:t>
      </w:r>
      <w:r>
        <w:rPr>
          <w:rFonts w:hint="eastAsia" w:ascii="仿宋_GB2312" w:hAnsi="仿宋_GB2312" w:eastAsia="仿宋_GB2312" w:cs="仿宋_GB2312"/>
          <w:color w:val="auto"/>
          <w:sz w:val="32"/>
          <w:szCs w:val="32"/>
          <w:highlight w:val="none"/>
          <w:lang w:val="en-US" w:eastAsia="zh-CN"/>
        </w:rPr>
        <w:t>2022年开始全面推广预算管理一体化系统，将预算编制、执行、支付、调整、调剂、非税、采购等一系列财政重点环节都纳入预算一体化统一管理。切实做好新老系统承接换代工作，厘清工作细节，加强新系统的学习和培训，加快度过改革的“阵痛期”。</w:t>
      </w:r>
      <w:r>
        <w:rPr>
          <w:rFonts w:hint="eastAsia" w:ascii="仿宋_GB2312" w:hAnsi="仿宋_GB2312" w:eastAsia="仿宋_GB2312" w:cs="仿宋_GB2312"/>
          <w:b/>
          <w:bCs/>
          <w:color w:val="auto"/>
          <w:sz w:val="32"/>
          <w:szCs w:val="32"/>
          <w:highlight w:val="none"/>
          <w:lang w:val="en-US" w:eastAsia="zh-CN"/>
        </w:rPr>
        <w:t>二是</w:t>
      </w:r>
      <w:r>
        <w:rPr>
          <w:rFonts w:hint="eastAsia" w:ascii="仿宋_GB2312" w:hAnsi="仿宋_GB2312" w:eastAsia="仿宋_GB2312" w:cs="仿宋_GB2312"/>
          <w:color w:val="auto"/>
          <w:sz w:val="32"/>
          <w:szCs w:val="32"/>
          <w:highlight w:val="none"/>
          <w:lang w:val="en-US" w:eastAsia="zh-CN"/>
        </w:rPr>
        <w:t>加大对各乡镇新一轮财政体制实施的指导。</w:t>
      </w:r>
      <w:r>
        <w:rPr>
          <w:rFonts w:hint="eastAsia" w:ascii="仿宋_GB2312" w:eastAsia="仿宋_GB2312"/>
          <w:color w:val="auto"/>
          <w:sz w:val="32"/>
          <w:szCs w:val="32"/>
          <w:highlight w:val="none"/>
        </w:rPr>
        <w:t>理顺县乡财政分配关系，培植涵养财源，巩固和加强基层政权建设，促进县乡财政高质量发展</w:t>
      </w:r>
      <w:r>
        <w:rPr>
          <w:rFonts w:hint="eastAsia" w:ascii="仿宋_GB2312" w:eastAsia="仿宋_GB2312"/>
          <w:color w:val="auto"/>
          <w:sz w:val="32"/>
          <w:szCs w:val="32"/>
          <w:highlight w:val="none"/>
          <w:lang w:eastAsia="zh-CN"/>
        </w:rPr>
        <w:t>。</w:t>
      </w:r>
      <w:r>
        <w:rPr>
          <w:rFonts w:hint="eastAsia" w:ascii="仿宋_GB2312" w:eastAsia="仿宋_GB2312"/>
          <w:b/>
          <w:bCs/>
          <w:color w:val="auto"/>
          <w:sz w:val="32"/>
          <w:szCs w:val="32"/>
          <w:highlight w:val="none"/>
          <w:lang w:eastAsia="zh-CN"/>
        </w:rPr>
        <w:t>三是</w:t>
      </w:r>
      <w:r>
        <w:rPr>
          <w:rFonts w:hint="eastAsia" w:ascii="仿宋_GB2312" w:eastAsia="仿宋_GB2312"/>
          <w:color w:val="auto"/>
          <w:sz w:val="32"/>
          <w:szCs w:val="32"/>
          <w:highlight w:val="none"/>
          <w:lang w:eastAsia="zh-CN"/>
        </w:rPr>
        <w:t>强化预算绩效管理。严格落实《预算法》及其实施条例，加强预算执行的监督检查。探索建立县直部门预算执行进度定期通报制度，切实加快预算执行，提高资金使用绩效。</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（四）树立底线思维，全力打好风险防控“组合拳”。</w:t>
      </w:r>
    </w:p>
    <w:p>
      <w:pPr>
        <w:keepNext w:val="0"/>
        <w:keepLines w:val="0"/>
        <w:pageBreakBefore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一是</w:t>
      </w:r>
      <w:r>
        <w:rPr>
          <w:rFonts w:hint="eastAsia" w:ascii="仿宋_GB2312" w:hAnsi="仿宋_GB2312" w:eastAsia="仿宋_GB2312" w:cs="仿宋_GB2312"/>
          <w:color w:val="auto"/>
          <w:sz w:val="32"/>
          <w:szCs w:val="32"/>
          <w:highlight w:val="none"/>
          <w:lang w:val="en-US" w:eastAsia="zh-CN"/>
        </w:rPr>
        <w:t>严格执行人大批准的预算，坚持先有预算后有支出，强化预算对执行的控制。</w:t>
      </w:r>
      <w:r>
        <w:rPr>
          <w:rFonts w:hint="eastAsia" w:ascii="仿宋_GB2312" w:hAnsi="仿宋_GB2312" w:eastAsia="仿宋_GB2312" w:cs="仿宋_GB2312"/>
          <w:b/>
          <w:bCs/>
          <w:color w:val="auto"/>
          <w:sz w:val="32"/>
          <w:szCs w:val="32"/>
          <w:highlight w:val="none"/>
          <w:lang w:val="en-US" w:eastAsia="zh-CN"/>
        </w:rPr>
        <w:t>二是</w:t>
      </w:r>
      <w:r>
        <w:rPr>
          <w:rFonts w:hint="eastAsia" w:ascii="仿宋_GB2312" w:hAnsi="仿宋_GB2312" w:eastAsia="仿宋_GB2312" w:cs="仿宋_GB2312"/>
          <w:color w:val="auto"/>
          <w:sz w:val="32"/>
          <w:szCs w:val="32"/>
          <w:highlight w:val="none"/>
          <w:lang w:val="en-US" w:eastAsia="zh-CN"/>
        </w:rPr>
        <w:t>完善事前审核、事中监控、事后处置的“三保”预算管理工作机制，坚持“三保”支出在预算安排中的优先地位，坚决防范基层“三保”风险。</w:t>
      </w:r>
      <w:r>
        <w:rPr>
          <w:rFonts w:hint="eastAsia" w:ascii="仿宋_GB2312" w:hAnsi="仿宋_GB2312" w:eastAsia="仿宋_GB2312" w:cs="仿宋_GB2312"/>
          <w:b/>
          <w:bCs/>
          <w:color w:val="auto"/>
          <w:sz w:val="32"/>
          <w:szCs w:val="32"/>
          <w:highlight w:val="none"/>
          <w:lang w:val="en-US" w:eastAsia="zh-CN"/>
        </w:rPr>
        <w:t>三是</w:t>
      </w:r>
      <w:r>
        <w:rPr>
          <w:rFonts w:hint="eastAsia" w:ascii="仿宋_GB2312" w:hAnsi="仿宋_GB2312" w:eastAsia="仿宋_GB2312" w:cs="仿宋_GB2312"/>
          <w:color w:val="auto"/>
          <w:sz w:val="32"/>
          <w:szCs w:val="32"/>
          <w:highlight w:val="none"/>
          <w:lang w:val="en-US" w:eastAsia="zh-CN"/>
        </w:rPr>
        <w:t>加强地方政府债务管理，坚持“疏堵结合、开好前门、严堵后门”的原则，强化债务风险管控和债券全生命周期管理。完善政府债务动态监测和风险评估预警机制，坚决杜绝新增隐性债务，大力化解存量债务，确保政府债券资金使用高效、风险总体可控。</w:t>
      </w:r>
      <w:r>
        <w:rPr>
          <w:rFonts w:hint="eastAsia" w:ascii="仿宋_GB2312" w:hAnsi="仿宋_GB2312" w:eastAsia="仿宋_GB2312" w:cs="仿宋_GB2312"/>
          <w:b/>
          <w:bCs/>
          <w:color w:val="auto"/>
          <w:sz w:val="32"/>
          <w:szCs w:val="32"/>
          <w:highlight w:val="none"/>
          <w:lang w:val="en-US" w:eastAsia="zh-CN"/>
        </w:rPr>
        <w:t>四是</w:t>
      </w:r>
      <w:r>
        <w:rPr>
          <w:rFonts w:hint="eastAsia" w:ascii="仿宋_GB2312" w:hAnsi="仿宋_GB2312" w:eastAsia="仿宋_GB2312" w:cs="仿宋_GB2312"/>
          <w:color w:val="auto"/>
          <w:sz w:val="32"/>
          <w:szCs w:val="32"/>
          <w:highlight w:val="none"/>
          <w:lang w:val="en-US" w:eastAsia="zh-CN"/>
        </w:rPr>
        <w:t>加强国有资本管理。定期对国有企业经营、重大项目投资、融资提现等情况进行汇总分析，形成风险防范监管合力，确保国有资本安全高效运行。</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color w:val="auto"/>
          <w:sz w:val="32"/>
          <w:szCs w:val="32"/>
          <w:highlight w:val="none"/>
          <w:lang w:eastAsia="zh-CN"/>
        </w:rPr>
        <w:t>各位代表</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2022年</w:t>
      </w:r>
      <w:r>
        <w:rPr>
          <w:rFonts w:hint="eastAsia" w:ascii="仿宋_GB2312" w:hAnsi="仿宋_GB2312" w:eastAsia="仿宋_GB2312" w:cs="仿宋_GB2312"/>
          <w:color w:val="auto"/>
          <w:sz w:val="32"/>
          <w:szCs w:val="32"/>
          <w:highlight w:val="none"/>
        </w:rPr>
        <w:t>的财政工作</w:t>
      </w:r>
      <w:r>
        <w:rPr>
          <w:rFonts w:hint="eastAsia" w:ascii="仿宋_GB2312" w:hAnsi="仿宋_GB2312" w:eastAsia="仿宋_GB2312" w:cs="仿宋_GB2312"/>
          <w:color w:val="auto"/>
          <w:sz w:val="32"/>
          <w:szCs w:val="32"/>
          <w:highlight w:val="none"/>
          <w:lang w:val="en-US" w:eastAsia="zh-CN"/>
        </w:rPr>
        <w:t>既面临收支矛盾突出的严峻形势，又承担着深化预算管理改革的艰巨任务，</w:t>
      </w:r>
      <w:r>
        <w:rPr>
          <w:rFonts w:hint="eastAsia" w:ascii="仿宋_GB2312" w:hAnsi="仿宋_GB2312" w:eastAsia="仿宋_GB2312" w:cs="仿宋_GB2312"/>
          <w:color w:val="auto"/>
          <w:sz w:val="32"/>
          <w:szCs w:val="32"/>
          <w:highlight w:val="none"/>
        </w:rPr>
        <w:t>我们将在</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委的坚强领导下，在</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人大、</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政协的监督支持下，迎难而上、真抓实干，以更加务实的作风、更加有为的担当，扎实推进财政各项工作，为</w:t>
      </w:r>
      <w:r>
        <w:rPr>
          <w:rFonts w:hint="eastAsia" w:ascii="仿宋_GB2312" w:hAnsi="仿宋_GB2312" w:eastAsia="仿宋_GB2312" w:cs="仿宋_GB2312"/>
          <w:color w:val="auto"/>
          <w:sz w:val="32"/>
          <w:szCs w:val="32"/>
          <w:highlight w:val="none"/>
          <w:lang w:eastAsia="zh-CN"/>
        </w:rPr>
        <w:t>加快</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实现“三个倍增”、打造“五个高地”，加速推进“四县四区”建设提供坚实财政支撑！</w:t>
      </w:r>
      <w:r>
        <w:rPr>
          <w:rFonts w:hint="eastAsia" w:ascii="仿宋_GB2312" w:hAnsi="仿宋_GB2312" w:eastAsia="仿宋_GB2312" w:cs="仿宋_GB2312"/>
          <w:b w:val="0"/>
          <w:bCs w:val="0"/>
          <w:color w:val="auto"/>
          <w:sz w:val="32"/>
          <w:szCs w:val="32"/>
          <w:highlight w:val="none"/>
          <w:lang w:val="en-US" w:eastAsia="zh-CN"/>
        </w:rPr>
        <w:t>以优异成绩迎接党的二十大胜利召开！</w:t>
      </w:r>
    </w:p>
    <w:p>
      <w:pPr>
        <w:keepNext w:val="0"/>
        <w:keepLines w:val="0"/>
        <w:pageBreakBefore w:val="0"/>
        <w:kinsoku/>
        <w:wordWrap/>
        <w:overflowPunct/>
        <w:topLinePunct w:val="0"/>
        <w:autoSpaceDE/>
        <w:autoSpaceDN/>
        <w:bidi w:val="0"/>
        <w:spacing w:line="560" w:lineRule="exact"/>
        <w:ind w:firstLine="640" w:firstLineChars="200"/>
        <w:rPr>
          <w:rFonts w:ascii="仿宋_GB2312" w:hAnsi="仿宋" w:eastAsia="仿宋_GB2312" w:cs="仿宋"/>
          <w:color w:val="auto"/>
          <w:sz w:val="32"/>
          <w:szCs w:val="32"/>
          <w:highlight w:val="none"/>
        </w:rPr>
      </w:pPr>
    </w:p>
    <w:p>
      <w:pPr>
        <w:keepNext w:val="0"/>
        <w:keepLines w:val="0"/>
        <w:pageBreakBefore w:val="0"/>
        <w:kinsoku/>
        <w:wordWrap/>
        <w:overflowPunct/>
        <w:topLinePunct w:val="0"/>
        <w:autoSpaceDE/>
        <w:autoSpaceDN/>
        <w:bidi w:val="0"/>
        <w:spacing w:line="560" w:lineRule="exact"/>
        <w:ind w:firstLine="640" w:firstLineChars="200"/>
        <w:rPr>
          <w:rFonts w:ascii="仿宋_GB2312" w:hAnsi="仿宋" w:eastAsia="仿宋_GB2312" w:cs="仿宋"/>
          <w:color w:val="auto"/>
          <w:sz w:val="32"/>
          <w:szCs w:val="32"/>
          <w:highlight w:val="none"/>
        </w:rPr>
      </w:pPr>
    </w:p>
    <w:p>
      <w:pPr>
        <w:keepNext w:val="0"/>
        <w:keepLines w:val="0"/>
        <w:pageBreakBefore w:val="0"/>
        <w:kinsoku/>
        <w:wordWrap/>
        <w:overflowPunct/>
        <w:topLinePunct w:val="0"/>
        <w:autoSpaceDE/>
        <w:autoSpaceDN/>
        <w:bidi w:val="0"/>
        <w:spacing w:line="560" w:lineRule="exact"/>
        <w:ind w:firstLine="640" w:firstLineChars="200"/>
        <w:rPr>
          <w:rFonts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附件：1.名词解释</w:t>
      </w:r>
    </w:p>
    <w:p>
      <w:pPr>
        <w:keepNext w:val="0"/>
        <w:keepLines w:val="0"/>
        <w:pageBreakBefore w:val="0"/>
        <w:kinsoku/>
        <w:wordWrap/>
        <w:overflowPunct/>
        <w:topLinePunct w:val="0"/>
        <w:autoSpaceDE/>
        <w:autoSpaceDN/>
        <w:bidi w:val="0"/>
        <w:spacing w:line="560" w:lineRule="exact"/>
        <w:ind w:firstLine="1600" w:firstLineChars="500"/>
        <w:rPr>
          <w:rFonts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2.202</w:t>
      </w:r>
      <w:r>
        <w:rPr>
          <w:rFonts w:hint="eastAsia" w:ascii="仿宋_GB2312" w:hAnsi="仿宋" w:eastAsia="仿宋_GB2312" w:cs="仿宋"/>
          <w:color w:val="auto"/>
          <w:sz w:val="32"/>
          <w:szCs w:val="32"/>
          <w:highlight w:val="none"/>
          <w:lang w:val="en-US" w:eastAsia="zh-CN"/>
        </w:rPr>
        <w:t>1</w:t>
      </w:r>
      <w:r>
        <w:rPr>
          <w:rFonts w:hint="eastAsia" w:ascii="仿宋_GB2312" w:hAnsi="仿宋" w:eastAsia="仿宋_GB2312" w:cs="仿宋"/>
          <w:color w:val="auto"/>
          <w:sz w:val="32"/>
          <w:szCs w:val="32"/>
          <w:highlight w:val="none"/>
        </w:rPr>
        <w:t>年财政预算执行情况表</w:t>
      </w:r>
    </w:p>
    <w:p>
      <w:pPr>
        <w:keepNext w:val="0"/>
        <w:keepLines w:val="0"/>
        <w:pageBreakBefore w:val="0"/>
        <w:kinsoku/>
        <w:wordWrap/>
        <w:overflowPunct/>
        <w:topLinePunct w:val="0"/>
        <w:autoSpaceDE/>
        <w:autoSpaceDN/>
        <w:bidi w:val="0"/>
        <w:spacing w:line="560" w:lineRule="exact"/>
        <w:ind w:firstLine="1600" w:firstLineChars="500"/>
        <w:rPr>
          <w:rFonts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3.20</w:t>
      </w:r>
      <w:r>
        <w:rPr>
          <w:rFonts w:hint="eastAsia" w:ascii="仿宋_GB2312" w:hAnsi="仿宋" w:eastAsia="仿宋_GB2312" w:cs="仿宋"/>
          <w:color w:val="auto"/>
          <w:sz w:val="32"/>
          <w:szCs w:val="32"/>
          <w:highlight w:val="none"/>
          <w:lang w:val="en-US" w:eastAsia="zh-CN"/>
        </w:rPr>
        <w:t>22</w:t>
      </w:r>
      <w:r>
        <w:rPr>
          <w:rFonts w:hint="eastAsia" w:ascii="仿宋_GB2312" w:hAnsi="仿宋" w:eastAsia="仿宋_GB2312" w:cs="仿宋"/>
          <w:color w:val="auto"/>
          <w:sz w:val="32"/>
          <w:szCs w:val="32"/>
          <w:highlight w:val="none"/>
        </w:rPr>
        <w:t>年财政预算草案计划表</w:t>
      </w:r>
    </w:p>
    <w:p>
      <w:pPr>
        <w:keepNext w:val="0"/>
        <w:keepLines w:val="0"/>
        <w:pageBreakBefore w:val="0"/>
        <w:kinsoku/>
        <w:wordWrap/>
        <w:overflowPunct/>
        <w:topLinePunct w:val="0"/>
        <w:autoSpaceDE/>
        <w:autoSpaceDN/>
        <w:bidi w:val="0"/>
        <w:spacing w:line="560" w:lineRule="exact"/>
        <w:rPr>
          <w:rFonts w:hint="eastAsia" w:ascii="方正小标宋简体" w:hAnsi="方正小标宋简体" w:eastAsia="方正小标宋简体" w:cs="方正小标宋简体"/>
          <w:color w:val="auto"/>
          <w:kern w:val="0"/>
          <w:sz w:val="36"/>
          <w:szCs w:val="36"/>
          <w:highlight w:val="none"/>
        </w:rPr>
      </w:pPr>
    </w:p>
    <w:p>
      <w:pPr>
        <w:keepNext w:val="0"/>
        <w:keepLines w:val="0"/>
        <w:pageBreakBefore w:val="0"/>
        <w:kinsoku/>
        <w:wordWrap/>
        <w:overflowPunct/>
        <w:topLinePunct w:val="0"/>
        <w:autoSpaceDE/>
        <w:autoSpaceDN/>
        <w:bidi w:val="0"/>
        <w:spacing w:line="560" w:lineRule="exact"/>
        <w:rPr>
          <w:rFonts w:hint="eastAsia" w:ascii="方正小标宋简体" w:hAnsi="方正小标宋简体" w:eastAsia="方正小标宋简体" w:cs="方正小标宋简体"/>
          <w:color w:val="auto"/>
          <w:kern w:val="0"/>
          <w:sz w:val="36"/>
          <w:szCs w:val="36"/>
          <w:highlight w:val="none"/>
        </w:rPr>
      </w:pPr>
    </w:p>
    <w:p>
      <w:pPr>
        <w:keepNext w:val="0"/>
        <w:keepLines w:val="0"/>
        <w:pageBreakBefore w:val="0"/>
        <w:kinsoku/>
        <w:wordWrap/>
        <w:overflowPunct/>
        <w:topLinePunct w:val="0"/>
        <w:autoSpaceDE/>
        <w:autoSpaceDN/>
        <w:bidi w:val="0"/>
        <w:spacing w:line="560" w:lineRule="exact"/>
        <w:rPr>
          <w:rFonts w:hint="eastAsia" w:ascii="方正小标宋简体" w:hAnsi="方正小标宋简体" w:eastAsia="方正小标宋简体" w:cs="方正小标宋简体"/>
          <w:color w:val="auto"/>
          <w:kern w:val="0"/>
          <w:sz w:val="36"/>
          <w:szCs w:val="36"/>
          <w:highlight w:val="none"/>
        </w:rPr>
      </w:pPr>
    </w:p>
    <w:p>
      <w:pPr>
        <w:keepNext w:val="0"/>
        <w:keepLines w:val="0"/>
        <w:pageBreakBefore w:val="0"/>
        <w:kinsoku/>
        <w:wordWrap/>
        <w:overflowPunct/>
        <w:topLinePunct w:val="0"/>
        <w:autoSpaceDE/>
        <w:autoSpaceDN/>
        <w:bidi w:val="0"/>
        <w:spacing w:line="560" w:lineRule="exact"/>
        <w:rPr>
          <w:rFonts w:hint="eastAsia" w:ascii="方正小标宋简体" w:hAnsi="方正小标宋简体" w:eastAsia="方正小标宋简体" w:cs="方正小标宋简体"/>
          <w:color w:val="auto"/>
          <w:kern w:val="0"/>
          <w:sz w:val="36"/>
          <w:szCs w:val="36"/>
          <w:highlight w:val="none"/>
        </w:rPr>
      </w:pPr>
    </w:p>
    <w:p>
      <w:pPr>
        <w:pStyle w:val="2"/>
        <w:rPr>
          <w:rFonts w:hint="eastAsia"/>
        </w:rPr>
      </w:pPr>
    </w:p>
    <w:p>
      <w:pPr>
        <w:keepNext w:val="0"/>
        <w:keepLines w:val="0"/>
        <w:pageBreakBefore w:val="0"/>
        <w:kinsoku/>
        <w:wordWrap/>
        <w:overflowPunct/>
        <w:topLinePunct w:val="0"/>
        <w:autoSpaceDE/>
        <w:autoSpaceDN/>
        <w:bidi w:val="0"/>
        <w:spacing w:line="560" w:lineRule="exact"/>
        <w:rPr>
          <w:rFonts w:ascii="方正小标宋简体" w:hAnsi="方正小标宋简体" w:eastAsia="方正小标宋简体" w:cs="方正小标宋简体"/>
          <w:color w:val="auto"/>
          <w:kern w:val="0"/>
          <w:sz w:val="36"/>
          <w:szCs w:val="36"/>
          <w:highlight w:val="none"/>
        </w:rPr>
      </w:pPr>
      <w:r>
        <w:rPr>
          <w:rFonts w:hint="eastAsia" w:ascii="方正小标宋简体" w:hAnsi="方正小标宋简体" w:eastAsia="方正小标宋简体" w:cs="方正小标宋简体"/>
          <w:color w:val="auto"/>
          <w:kern w:val="0"/>
          <w:sz w:val="36"/>
          <w:szCs w:val="36"/>
          <w:highlight w:val="none"/>
        </w:rPr>
        <w:t xml:space="preserve">附件1           </w:t>
      </w:r>
    </w:p>
    <w:p>
      <w:pPr>
        <w:keepNext w:val="0"/>
        <w:keepLines w:val="0"/>
        <w:pageBreakBefore w:val="0"/>
        <w:kinsoku/>
        <w:wordWrap/>
        <w:overflowPunct/>
        <w:topLinePunct w:val="0"/>
        <w:autoSpaceDE/>
        <w:autoSpaceDN/>
        <w:bidi w:val="0"/>
        <w:spacing w:line="560" w:lineRule="exact"/>
        <w:jc w:val="center"/>
        <w:rPr>
          <w:rFonts w:ascii="方正小标宋简体" w:hAnsi="方正小标宋简体" w:eastAsia="方正小标宋简体" w:cs="方正小标宋简体"/>
          <w:color w:val="auto"/>
          <w:kern w:val="0"/>
          <w:sz w:val="36"/>
          <w:szCs w:val="36"/>
          <w:highlight w:val="none"/>
        </w:rPr>
      </w:pPr>
      <w:r>
        <w:rPr>
          <w:rFonts w:hint="eastAsia" w:ascii="方正小标宋简体" w:hAnsi="方正小标宋简体" w:eastAsia="方正小标宋简体" w:cs="方正小标宋简体"/>
          <w:color w:val="auto"/>
          <w:kern w:val="0"/>
          <w:sz w:val="36"/>
          <w:szCs w:val="36"/>
          <w:highlight w:val="none"/>
        </w:rPr>
        <w:t>名 词 解 释</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1.全口径预算管理。指将全部政府收支纳入预算，并接受与其性质相适应的管理和监督，使政府预算做到体系完整、结构清晰、权责匹配、公开透明。其基本内容包括：一是所有政府收支应当纳入预算；二是预算体系包括一般公共预算、政府性基金预算、国有资本经营预算和社会保险基金预算。</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2.一般公共预算。指政府凭借国家政治权力，以社会管理者身份筹集以税收为主体的财政收入，用于保障和改善民生、维持国家行政职能正常行使、保障国家安全等方面的收支预算。</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3.政府性基金预算。指政府通过向社会征收基金、收费，以及出让土地、发行彩票等方式取得收入，专项用于支持特定基础设施建设和社会事业发展等方面的收支预算。</w:t>
      </w:r>
    </w:p>
    <w:p>
      <w:pPr>
        <w:keepNext w:val="0"/>
        <w:keepLines w:val="0"/>
        <w:pageBreakBefore w:val="0"/>
        <w:widowControl/>
        <w:shd w:val="clear" w:color="auto" w:fill="FFFFFF"/>
        <w:kinsoku/>
        <w:wordWrap/>
        <w:overflowPunct/>
        <w:topLinePunct w:val="0"/>
        <w:autoSpaceDE/>
        <w:autoSpaceDN/>
        <w:bidi w:val="0"/>
        <w:spacing w:line="560" w:lineRule="exact"/>
        <w:ind w:firstLine="6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4.国有资本经营预算。指国家以所有者身份依法取得国有资本经营收益，并对所得收益进行分配而发生的收支预算。</w:t>
      </w:r>
    </w:p>
    <w:p>
      <w:pPr>
        <w:keepNext w:val="0"/>
        <w:keepLines w:val="0"/>
        <w:pageBreakBefore w:val="0"/>
        <w:widowControl/>
        <w:shd w:val="clear" w:color="auto" w:fill="FFFFFF"/>
        <w:kinsoku/>
        <w:wordWrap/>
        <w:overflowPunct/>
        <w:topLinePunct w:val="0"/>
        <w:autoSpaceDE/>
        <w:autoSpaceDN/>
        <w:bidi w:val="0"/>
        <w:spacing w:line="560" w:lineRule="exact"/>
        <w:ind w:firstLine="6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5.社会保险基金预算。指根据国家社会保险和预算管理法律法规建立，反映各项社会保险基金收支的年度计划。</w:t>
      </w:r>
    </w:p>
    <w:p>
      <w:pPr>
        <w:keepNext w:val="0"/>
        <w:keepLines w:val="0"/>
        <w:pageBreakBefore w:val="0"/>
        <w:widowControl/>
        <w:shd w:val="clear" w:color="auto" w:fill="FFFFFF"/>
        <w:kinsoku/>
        <w:wordWrap/>
        <w:overflowPunct/>
        <w:topLinePunct w:val="0"/>
        <w:autoSpaceDE/>
        <w:autoSpaceDN/>
        <w:bidi w:val="0"/>
        <w:spacing w:line="560" w:lineRule="exact"/>
        <w:ind w:firstLine="6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6.预算绩效管理。预算绩效是指预算资金所达到的产出和结果。预算绩效管理是政府绩效管理的重要组成部分，是一种以支出结果为导向的预算管理模式。它强化政府预算为民服务的理念，强调预算支出的责任和效率，要求在预算编制、执行、监督的全过程中更加关注预算资金的产出和结果。推进预算绩效管理，有利于提升预算管理水平、增强单位支出责任、提高公共服务质量、优化公共资源配置、节约公共支出成本。</w:t>
      </w:r>
    </w:p>
    <w:p>
      <w:pPr>
        <w:keepNext w:val="0"/>
        <w:keepLines w:val="0"/>
        <w:pageBreakBefore w:val="0"/>
        <w:widowControl/>
        <w:shd w:val="clear" w:color="auto" w:fill="FFFFFF"/>
        <w:kinsoku/>
        <w:wordWrap/>
        <w:overflowPunct/>
        <w:topLinePunct w:val="0"/>
        <w:autoSpaceDE/>
        <w:autoSpaceDN/>
        <w:bidi w:val="0"/>
        <w:spacing w:line="560" w:lineRule="exact"/>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　　7.财政结转结余资金。财政结转资金，是指当年支出预算已执行但尚未完成，或因故未执行，下年需按原用途继续使用的财政拨款资金。财政结余资金，是指支出预算工作目标已完成，或由于受政策变化、计划调整等因素影响工作终止，当年剩余的财政拨款资金。</w:t>
      </w:r>
    </w:p>
    <w:p>
      <w:pPr>
        <w:keepNext w:val="0"/>
        <w:keepLines w:val="0"/>
        <w:pageBreakBefore w:val="0"/>
        <w:widowControl/>
        <w:shd w:val="clear" w:color="auto" w:fill="FFFFFF"/>
        <w:kinsoku/>
        <w:wordWrap/>
        <w:overflowPunct/>
        <w:topLinePunct w:val="0"/>
        <w:autoSpaceDE/>
        <w:autoSpaceDN/>
        <w:bidi w:val="0"/>
        <w:spacing w:line="560" w:lineRule="exact"/>
        <w:ind w:firstLine="6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8.民生支出。指财政支出中用于保障和改善民生方面的支出。包括教育、科学技术、文化体育与传媒、社会保障和就业、医疗卫生与计划生育、节能环保、城乡社区、农林水、交通运输、商业服务业等、国土海洋气象等、住房保障、粮油物资储备等支出科目的总和，不包括一般公共服务、公共安全、资源勘探信息等、金融监管、其他支出等支出科目。</w:t>
      </w:r>
    </w:p>
    <w:p>
      <w:pPr>
        <w:keepNext w:val="0"/>
        <w:keepLines w:val="0"/>
        <w:pageBreakBefore w:val="0"/>
        <w:widowControl/>
        <w:shd w:val="clear" w:color="auto" w:fill="FFFFFF"/>
        <w:kinsoku/>
        <w:wordWrap/>
        <w:overflowPunct/>
        <w:topLinePunct w:val="0"/>
        <w:autoSpaceDE/>
        <w:autoSpaceDN/>
        <w:bidi w:val="0"/>
        <w:spacing w:line="560" w:lineRule="exact"/>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　　9.政府采购。指各级机关事业单位和团体组织，使用财政性资金购买依法制定的集中采购目录以内或采购限额标准以上的货物、工程和服务的行为。它不仅是指具体的采购过程，也是一种公共采购管理制度。</w:t>
      </w:r>
    </w:p>
    <w:p>
      <w:pPr>
        <w:keepNext w:val="0"/>
        <w:keepLines w:val="0"/>
        <w:pageBreakBefore w:val="0"/>
        <w:widowControl/>
        <w:shd w:val="clear" w:color="auto" w:fill="FFFFFF"/>
        <w:kinsoku/>
        <w:wordWrap/>
        <w:overflowPunct/>
        <w:topLinePunct w:val="0"/>
        <w:autoSpaceDE/>
        <w:autoSpaceDN/>
        <w:bidi w:val="0"/>
        <w:spacing w:line="560" w:lineRule="exact"/>
        <w:ind w:firstLine="6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10.财政投资评审。财政投资评审是财政职能的重要组成部分，是强化财政支出预算管理的重要环节。通过运用专业技术评审手段，对使用财政资金的基本建设项目和专项支出的必要性、可行性、合理性及资金来源等方面进行评审论证，对不合规行为实施监督，避免财政资金支出的盲目性和随意性，从而提高财政资金使用效益。</w:t>
      </w:r>
    </w:p>
    <w:p>
      <w:pPr>
        <w:keepNext w:val="0"/>
        <w:keepLines w:val="0"/>
        <w:pageBreakBefore w:val="0"/>
        <w:widowControl/>
        <w:shd w:val="clear" w:color="auto" w:fill="FFFFFF"/>
        <w:kinsoku/>
        <w:wordWrap/>
        <w:overflowPunct/>
        <w:topLinePunct w:val="0"/>
        <w:autoSpaceDE/>
        <w:autoSpaceDN/>
        <w:bidi w:val="0"/>
        <w:spacing w:line="560" w:lineRule="exact"/>
        <w:ind w:firstLine="6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11.政府和社会资本合作（PPP）。即Public—Private—Partnership的字母缩写，是指政府和社会资本在基础设施建设及公共服务领域建立的一种长期合作关系。通常模式是由社会资本承担设计、建设、运营、维护基础设施的大部分工作，并通过“使用者付费”及必要的“政府付费”获得合理回报；政府部门负责基础设施及公共服务价格和质量监管，以保证公共利益最大化。</w:t>
      </w:r>
    </w:p>
    <w:p>
      <w:pPr>
        <w:keepNext w:val="0"/>
        <w:keepLines w:val="0"/>
        <w:pageBreakBefore w:val="0"/>
        <w:widowControl/>
        <w:shd w:val="clear" w:color="auto" w:fill="FFFFFF"/>
        <w:kinsoku/>
        <w:wordWrap/>
        <w:overflowPunct/>
        <w:topLinePunct w:val="0"/>
        <w:autoSpaceDE/>
        <w:autoSpaceDN/>
        <w:bidi w:val="0"/>
        <w:spacing w:line="560" w:lineRule="exact"/>
        <w:ind w:firstLine="6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12.政府购买服务。指通过发挥市场机制作用，把政府直接提供的一部分公共服务事项以及政府履职所需服务事项，按照一定的方式和程序，交由具备条件的社会力量和事业单位承担，并由政府根据合同约定向其支付费用。</w:t>
      </w:r>
    </w:p>
    <w:p>
      <w:pPr>
        <w:keepNext w:val="0"/>
        <w:keepLines w:val="0"/>
        <w:pageBreakBefore w:val="0"/>
        <w:widowControl/>
        <w:shd w:val="clear" w:color="auto" w:fill="FFFFFF"/>
        <w:kinsoku/>
        <w:wordWrap/>
        <w:overflowPunct/>
        <w:topLinePunct w:val="0"/>
        <w:autoSpaceDE/>
        <w:autoSpaceDN/>
        <w:bidi w:val="0"/>
        <w:spacing w:line="560" w:lineRule="exact"/>
        <w:ind w:firstLine="6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13.转移支付。以各级政府之间所存在的财政能力差异为基础，以实现各地公共服务水平的均等化为主旨，而实行的一种财政资金转移或财政平衡制度。</w:t>
      </w:r>
    </w:p>
    <w:p>
      <w:pPr>
        <w:keepNext w:val="0"/>
        <w:keepLines w:val="0"/>
        <w:pageBreakBefore w:val="0"/>
        <w:widowControl/>
        <w:shd w:val="clear" w:color="auto" w:fill="FFFFFF"/>
        <w:kinsoku/>
        <w:wordWrap/>
        <w:overflowPunct/>
        <w:topLinePunct w:val="0"/>
        <w:autoSpaceDE/>
        <w:autoSpaceDN/>
        <w:bidi w:val="0"/>
        <w:spacing w:line="560" w:lineRule="exact"/>
        <w:ind w:firstLine="6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14.一般性转移支付。指上级政府给予地方政府的财力补助，用于均衡地区间财力差距，包括纯财力补助和中央地方基本公共服务领域共同财政事权转移支付，地方政府可以按照相关规定统筹安排和使用。</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15.专项转移支付。指上级政府为实现特定的经济和社会发展目标无偿给予地方政府，由接受转移支付的政府按照上级政府规定的用途安排使用的预算资金。</w:t>
      </w:r>
    </w:p>
    <w:p>
      <w:pPr>
        <w:keepNext w:val="0"/>
        <w:keepLines w:val="0"/>
        <w:pageBreakBefore w:val="0"/>
        <w:kinsoku/>
        <w:wordWrap/>
        <w:overflowPunct/>
        <w:topLinePunct w:val="0"/>
        <w:autoSpaceDE/>
        <w:autoSpaceDN/>
        <w:bidi w:val="0"/>
        <w:spacing w:line="560" w:lineRule="exact"/>
        <w:ind w:firstLine="640" w:firstLineChars="200"/>
        <w:rPr>
          <w:rFonts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16.政府债务。指按预算法规定通过省政府代为发行的地方政府债券，以及2014年底清理甄别锁定的存量政府债务。政府债务分为一般债务和专项债务。一般债务指政府为没有收益的公益性事业发展举借的债务；专项债务指政府为有一定收益的公益性事业发展举借的债务。</w:t>
      </w:r>
      <w:r>
        <w:rPr>
          <w:rFonts w:hint="eastAsia" w:ascii="仿宋_GB2312" w:hAnsi="仿宋" w:eastAsia="仿宋_GB2312" w:cs="仿宋"/>
          <w:color w:val="auto"/>
          <w:kern w:val="0"/>
          <w:sz w:val="32"/>
          <w:szCs w:val="32"/>
          <w:highlight w:val="none"/>
        </w:rPr>
        <w:tab/>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rPr>
        <w:t>17.</w:t>
      </w:r>
      <w:r>
        <w:rPr>
          <w:rFonts w:hint="eastAsia" w:ascii="仿宋_GB2312" w:hAnsi="仿宋" w:eastAsia="仿宋_GB2312" w:cs="仿宋"/>
          <w:color w:val="auto"/>
          <w:kern w:val="0"/>
          <w:sz w:val="32"/>
          <w:szCs w:val="32"/>
          <w:highlight w:val="none"/>
          <w:lang w:val="en-US" w:eastAsia="zh-CN"/>
        </w:rPr>
        <w:t>预算管理一体化。</w:t>
      </w:r>
      <w:r>
        <w:rPr>
          <w:rFonts w:hint="eastAsia" w:ascii="仿宋_GB2312" w:hAnsi="仿宋" w:eastAsia="仿宋_GB2312" w:cs="仿宋"/>
          <w:color w:val="auto"/>
          <w:kern w:val="0"/>
          <w:sz w:val="32"/>
          <w:szCs w:val="32"/>
          <w:highlight w:val="none"/>
        </w:rPr>
        <w:t>以统一预算管理规则为核心，以预算管理一体化系统为主要载体，将统一的管理规则嵌入信息系统，提高项目储备、预算编审、预算调整和调剂、资金支付、会计核算、决算和报告等工作的标准化、自动化水平，实现对预算管理全流程的动态反映和有效控制，保证各级预算管理规范高效。</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 w:eastAsia="仿宋_GB2312" w:cs="仿宋"/>
          <w:color w:val="auto"/>
          <w:kern w:val="0"/>
          <w:sz w:val="32"/>
          <w:szCs w:val="32"/>
          <w:highlight w:val="none"/>
          <w:lang w:val="en-US" w:eastAsia="zh-CN"/>
        </w:rPr>
      </w:pPr>
      <w:r>
        <w:rPr>
          <w:rFonts w:hint="eastAsia" w:ascii="仿宋_GB2312" w:hAnsi="仿宋" w:eastAsia="仿宋_GB2312" w:cs="仿宋"/>
          <w:color w:val="auto"/>
          <w:kern w:val="0"/>
          <w:sz w:val="32"/>
          <w:szCs w:val="32"/>
          <w:highlight w:val="none"/>
          <w:lang w:val="en-US" w:eastAsia="zh-CN"/>
        </w:rPr>
        <w:t>18.一般性支出。根据《财政部关于进一步做好2017年一般性支出压减工作的通知》（财预〔2017〕137号）精神，一般性支出压减涉及的科目包括：302“商品和服务支出”（不含30204“手续费”、30218“专用材料费”、30225“专用燃料费”、30228“工会经费”、30229“福利费”、30240“税金及附加费用”和30299“其他商品和服务支出”）；31001“房屋建筑物购置”、31002“办公设备购置”、31013“公务用车购置”、31019“其他交通工具购置”。</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lang w:val="en-US" w:eastAsia="zh-CN"/>
        </w:rPr>
        <w:t>19.</w:t>
      </w:r>
      <w:r>
        <w:rPr>
          <w:rFonts w:hint="eastAsia" w:ascii="仿宋_GB2312" w:hAnsi="仿宋" w:eastAsia="仿宋_GB2312" w:cs="仿宋"/>
          <w:color w:val="auto"/>
          <w:kern w:val="0"/>
          <w:sz w:val="32"/>
          <w:szCs w:val="32"/>
          <w:highlight w:val="none"/>
        </w:rPr>
        <w:t>六稳：稳就业、稳金融、稳外贸、稳外资、稳投资、稳预期工作。</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 w:eastAsia="仿宋_GB2312" w:cs="仿宋"/>
          <w:color w:val="auto"/>
          <w:kern w:val="0"/>
          <w:sz w:val="32"/>
          <w:szCs w:val="32"/>
          <w:highlight w:val="none"/>
        </w:rPr>
      </w:pPr>
      <w:r>
        <w:rPr>
          <w:rFonts w:hint="eastAsia" w:ascii="仿宋_GB2312" w:hAnsi="仿宋" w:eastAsia="仿宋_GB2312" w:cs="仿宋"/>
          <w:color w:val="auto"/>
          <w:kern w:val="0"/>
          <w:sz w:val="32"/>
          <w:szCs w:val="32"/>
          <w:highlight w:val="none"/>
          <w:lang w:val="en-US" w:eastAsia="zh-CN"/>
        </w:rPr>
        <w:t>20</w:t>
      </w:r>
      <w:r>
        <w:rPr>
          <w:rFonts w:hint="eastAsia" w:ascii="仿宋_GB2312" w:hAnsi="仿宋" w:eastAsia="仿宋_GB2312" w:cs="仿宋"/>
          <w:color w:val="auto"/>
          <w:kern w:val="0"/>
          <w:sz w:val="32"/>
          <w:szCs w:val="32"/>
          <w:highlight w:val="none"/>
        </w:rPr>
        <w:t>.六保：保居民就业、保基本民生、保市场主体、保粮食能源安全、保产业链供应链稳定、保基层运转。</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 w:eastAsia="仿宋_GB2312" w:cs="仿宋"/>
          <w:color w:val="auto"/>
          <w:kern w:val="0"/>
          <w:sz w:val="32"/>
          <w:szCs w:val="32"/>
          <w:highlight w:val="none"/>
          <w:lang w:val="en-US" w:eastAsia="zh-CN"/>
        </w:rPr>
      </w:pPr>
    </w:p>
    <w:p>
      <w:pPr>
        <w:pStyle w:val="5"/>
        <w:rPr>
          <w:rFonts w:hint="eastAsia"/>
          <w:color w:val="auto"/>
          <w:highlight w:val="none"/>
        </w:rPr>
      </w:pPr>
    </w:p>
    <w:p>
      <w:pPr>
        <w:pStyle w:val="5"/>
        <w:rPr>
          <w:rFonts w:hint="eastAsia" w:ascii="仿宋" w:hAnsi="仿宋" w:eastAsia="仿宋" w:cs="仿宋"/>
          <w:color w:val="auto"/>
          <w:sz w:val="32"/>
          <w:szCs w:val="32"/>
          <w:highlight w:val="none"/>
          <w:shd w:val="clear" w:color="auto" w:fill="FFFFFF"/>
        </w:rPr>
      </w:pPr>
    </w:p>
    <w:p>
      <w:pPr>
        <w:keepNext w:val="0"/>
        <w:keepLines w:val="0"/>
        <w:pageBreakBefore w:val="0"/>
        <w:kinsoku/>
        <w:wordWrap/>
        <w:overflowPunct/>
        <w:topLinePunct w:val="0"/>
        <w:autoSpaceDE/>
        <w:autoSpaceDN/>
        <w:bidi w:val="0"/>
        <w:adjustRightInd/>
        <w:snapToGrid/>
        <w:spacing w:beforeAutospacing="0" w:line="560" w:lineRule="exact"/>
        <w:textAlignment w:val="auto"/>
        <w:rPr>
          <w:rFonts w:ascii="黑体" w:eastAsia="黑体"/>
          <w:color w:val="auto"/>
          <w:sz w:val="36"/>
          <w:szCs w:val="36"/>
          <w:highlight w:val="none"/>
        </w:rPr>
      </w:pPr>
      <w:r>
        <w:rPr>
          <w:rFonts w:hint="eastAsia" w:ascii="黑体" w:eastAsia="黑体"/>
          <w:color w:val="auto"/>
          <w:sz w:val="36"/>
          <w:szCs w:val="36"/>
          <w:highlight w:val="none"/>
        </w:rPr>
        <w:t>附件</w:t>
      </w:r>
      <w:r>
        <w:rPr>
          <w:rFonts w:hint="eastAsia" w:ascii="黑体" w:eastAsia="黑体"/>
          <w:color w:val="auto"/>
          <w:sz w:val="36"/>
          <w:szCs w:val="36"/>
          <w:highlight w:val="none"/>
          <w:lang w:val="en-US" w:eastAsia="zh-CN"/>
        </w:rPr>
        <w:t>2-01</w:t>
      </w:r>
      <w:r>
        <w:rPr>
          <w:rFonts w:hint="eastAsia" w:ascii="黑体" w:eastAsia="黑体"/>
          <w:color w:val="auto"/>
          <w:sz w:val="36"/>
          <w:szCs w:val="36"/>
          <w:highlight w:val="none"/>
        </w:rPr>
        <w:t xml:space="preserve">      </w:t>
      </w:r>
    </w:p>
    <w:p>
      <w:pPr>
        <w:pStyle w:val="10"/>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方正小标宋简体" w:eastAsia="方正小标宋简体"/>
          <w:color w:val="auto"/>
          <w:w w:val="95"/>
          <w:sz w:val="44"/>
          <w:szCs w:val="44"/>
          <w:highlight w:val="none"/>
        </w:rPr>
      </w:pPr>
      <w:r>
        <w:rPr>
          <w:rFonts w:hint="eastAsia" w:ascii="方正小标宋简体" w:eastAsia="方正小标宋简体"/>
          <w:color w:val="auto"/>
          <w:w w:val="95"/>
          <w:sz w:val="44"/>
          <w:szCs w:val="44"/>
          <w:highlight w:val="none"/>
        </w:rPr>
        <w:t>秭归县</w:t>
      </w:r>
      <w:r>
        <w:rPr>
          <w:rFonts w:ascii="方正小标宋简体" w:eastAsia="方正小标宋简体"/>
          <w:color w:val="auto"/>
          <w:w w:val="95"/>
          <w:sz w:val="44"/>
          <w:szCs w:val="44"/>
          <w:highlight w:val="none"/>
        </w:rPr>
        <w:t>202</w:t>
      </w:r>
      <w:r>
        <w:rPr>
          <w:rFonts w:hint="eastAsia" w:ascii="方正小标宋简体" w:eastAsia="方正小标宋简体"/>
          <w:color w:val="auto"/>
          <w:w w:val="95"/>
          <w:sz w:val="44"/>
          <w:szCs w:val="44"/>
          <w:highlight w:val="none"/>
          <w:lang w:val="en-US" w:eastAsia="zh-CN"/>
        </w:rPr>
        <w:t>1</w:t>
      </w:r>
      <w:r>
        <w:rPr>
          <w:rFonts w:hint="eastAsia" w:ascii="方正小标宋简体" w:eastAsia="方正小标宋简体"/>
          <w:color w:val="auto"/>
          <w:w w:val="95"/>
          <w:sz w:val="44"/>
          <w:szCs w:val="44"/>
          <w:highlight w:val="none"/>
        </w:rPr>
        <w:t>年一般公共预算</w:t>
      </w:r>
      <w:r>
        <w:rPr>
          <w:rFonts w:hint="eastAsia" w:ascii="方正小标宋简体" w:eastAsia="方正小标宋简体"/>
          <w:color w:val="auto"/>
          <w:w w:val="95"/>
          <w:sz w:val="44"/>
          <w:szCs w:val="44"/>
          <w:highlight w:val="none"/>
          <w:lang w:eastAsia="zh-CN"/>
        </w:rPr>
        <w:t>执行情况</w:t>
      </w:r>
      <w:r>
        <w:rPr>
          <w:rFonts w:hint="eastAsia" w:ascii="方正小标宋简体" w:eastAsia="方正小标宋简体"/>
          <w:color w:val="auto"/>
          <w:w w:val="95"/>
          <w:sz w:val="44"/>
          <w:szCs w:val="44"/>
          <w:highlight w:val="none"/>
        </w:rPr>
        <w:t>表</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宋体" w:hAnsi="宋体"/>
          <w:color w:val="auto"/>
          <w:sz w:val="22"/>
          <w:szCs w:val="22"/>
          <w:highlight w:val="none"/>
          <w:lang w:eastAsia="zh-CN"/>
        </w:rPr>
      </w:pPr>
      <w:r>
        <w:rPr>
          <w:rFonts w:hint="eastAsia" w:ascii="宋体" w:hAnsi="宋体"/>
          <w:color w:val="auto"/>
          <w:sz w:val="22"/>
          <w:szCs w:val="22"/>
          <w:highlight w:val="none"/>
          <w:lang w:eastAsia="zh-CN"/>
        </w:rPr>
        <w:t>单位：万元</w:t>
      </w:r>
    </w:p>
    <w:tbl>
      <w:tblPr>
        <w:tblStyle w:val="11"/>
        <w:tblW w:w="10033" w:type="dxa"/>
        <w:jc w:val="center"/>
        <w:tblLayout w:type="fixed"/>
        <w:tblCellMar>
          <w:top w:w="0" w:type="dxa"/>
          <w:left w:w="108" w:type="dxa"/>
          <w:bottom w:w="0" w:type="dxa"/>
          <w:right w:w="108" w:type="dxa"/>
        </w:tblCellMar>
      </w:tblPr>
      <w:tblGrid>
        <w:gridCol w:w="2354"/>
        <w:gridCol w:w="865"/>
        <w:gridCol w:w="883"/>
        <w:gridCol w:w="984"/>
        <w:gridCol w:w="2340"/>
        <w:gridCol w:w="855"/>
        <w:gridCol w:w="780"/>
        <w:gridCol w:w="972"/>
      </w:tblGrid>
      <w:tr>
        <w:tblPrEx>
          <w:tblCellMar>
            <w:top w:w="0" w:type="dxa"/>
            <w:left w:w="108" w:type="dxa"/>
            <w:bottom w:w="0" w:type="dxa"/>
            <w:right w:w="108" w:type="dxa"/>
          </w:tblCellMar>
        </w:tblPrEx>
        <w:trPr>
          <w:trHeight w:val="351" w:hRule="atLeast"/>
          <w:jc w:val="center"/>
        </w:trPr>
        <w:tc>
          <w:tcPr>
            <w:tcW w:w="5086"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收    入</w:t>
            </w:r>
          </w:p>
        </w:tc>
        <w:tc>
          <w:tcPr>
            <w:tcW w:w="4947" w:type="dxa"/>
            <w:gridSpan w:val="4"/>
            <w:tcBorders>
              <w:top w:val="single" w:color="auto" w:sz="4" w:space="0"/>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支      出</w:t>
            </w:r>
          </w:p>
        </w:tc>
      </w:tr>
      <w:tr>
        <w:tblPrEx>
          <w:tblCellMar>
            <w:top w:w="0" w:type="dxa"/>
            <w:left w:w="108" w:type="dxa"/>
            <w:bottom w:w="0" w:type="dxa"/>
            <w:right w:w="108" w:type="dxa"/>
          </w:tblCellMar>
        </w:tblPrEx>
        <w:trPr>
          <w:trHeight w:val="714" w:hRule="atLeast"/>
          <w:jc w:val="center"/>
        </w:trPr>
        <w:tc>
          <w:tcPr>
            <w:tcW w:w="2354" w:type="dxa"/>
            <w:tcBorders>
              <w:top w:val="nil"/>
              <w:left w:val="single" w:color="auto" w:sz="4" w:space="0"/>
              <w:bottom w:val="single" w:color="auto" w:sz="4" w:space="0"/>
              <w:right w:val="single" w:color="auto" w:sz="4" w:space="0"/>
            </w:tcBorders>
            <w:noWrap w:val="0"/>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项   目</w:t>
            </w:r>
          </w:p>
        </w:tc>
        <w:tc>
          <w:tcPr>
            <w:tcW w:w="865" w:type="dxa"/>
            <w:tcBorders>
              <w:top w:val="nil"/>
              <w:left w:val="nil"/>
              <w:bottom w:val="single" w:color="auto" w:sz="4" w:space="0"/>
              <w:right w:val="single" w:color="auto" w:sz="4" w:space="0"/>
            </w:tcBorders>
            <w:noWrap w:val="0"/>
            <w:vAlign w:val="center"/>
          </w:tcPr>
          <w:p>
            <w:pPr>
              <w:widowControl/>
              <w:spacing w:line="220" w:lineRule="exact"/>
              <w:jc w:val="center"/>
              <w:rPr>
                <w:rFonts w:hint="eastAsia" w:ascii="宋体" w:hAnsi="宋体" w:cs="宋体"/>
                <w:color w:val="auto"/>
                <w:kern w:val="0"/>
                <w:sz w:val="18"/>
                <w:szCs w:val="18"/>
                <w:highlight w:val="none"/>
                <w:lang w:eastAsia="zh-CN"/>
              </w:rPr>
            </w:pPr>
            <w:r>
              <w:rPr>
                <w:rFonts w:hint="eastAsia" w:ascii="宋体" w:hAnsi="宋体" w:cs="宋体"/>
                <w:color w:val="auto"/>
                <w:kern w:val="0"/>
                <w:sz w:val="18"/>
                <w:szCs w:val="18"/>
                <w:highlight w:val="none"/>
                <w:lang w:eastAsia="zh-CN"/>
              </w:rPr>
              <w:t>预算调整数</w:t>
            </w:r>
          </w:p>
        </w:tc>
        <w:tc>
          <w:tcPr>
            <w:tcW w:w="883" w:type="dxa"/>
            <w:tcBorders>
              <w:top w:val="nil"/>
              <w:left w:val="nil"/>
              <w:bottom w:val="single" w:color="auto" w:sz="4" w:space="0"/>
              <w:right w:val="single" w:color="auto" w:sz="4" w:space="0"/>
            </w:tcBorders>
            <w:noWrap w:val="0"/>
            <w:vAlign w:val="center"/>
          </w:tcPr>
          <w:p>
            <w:pPr>
              <w:widowControl/>
              <w:spacing w:line="220" w:lineRule="exact"/>
              <w:jc w:val="center"/>
              <w:rPr>
                <w:rFonts w:hint="eastAsia" w:ascii="宋体" w:hAnsi="宋体" w:cs="宋体"/>
                <w:color w:val="auto"/>
                <w:kern w:val="0"/>
                <w:sz w:val="18"/>
                <w:szCs w:val="18"/>
                <w:highlight w:val="none"/>
                <w:lang w:eastAsia="zh-CN"/>
              </w:rPr>
            </w:pPr>
            <w:r>
              <w:rPr>
                <w:rFonts w:hint="eastAsia" w:ascii="宋体" w:hAnsi="宋体" w:cs="宋体"/>
                <w:color w:val="auto"/>
                <w:kern w:val="0"/>
                <w:sz w:val="18"/>
                <w:szCs w:val="18"/>
                <w:highlight w:val="none"/>
                <w:lang w:eastAsia="zh-CN"/>
              </w:rPr>
              <w:t>预算执行数</w:t>
            </w:r>
          </w:p>
        </w:tc>
        <w:tc>
          <w:tcPr>
            <w:tcW w:w="984" w:type="dxa"/>
            <w:tcBorders>
              <w:top w:val="nil"/>
              <w:left w:val="nil"/>
              <w:bottom w:val="single" w:color="auto" w:sz="4" w:space="0"/>
              <w:right w:val="single" w:color="auto" w:sz="4" w:space="0"/>
            </w:tcBorders>
            <w:noWrap w:val="0"/>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预算执行</w:t>
            </w:r>
            <w:r>
              <w:rPr>
                <w:rFonts w:hint="eastAsia" w:ascii="宋体" w:hAnsi="宋体" w:cs="宋体"/>
                <w:color w:val="auto"/>
                <w:kern w:val="0"/>
                <w:sz w:val="18"/>
                <w:szCs w:val="18"/>
                <w:highlight w:val="none"/>
              </w:rPr>
              <w:t>占预算调整</w:t>
            </w:r>
            <w:r>
              <w:rPr>
                <w:rFonts w:hint="eastAsia" w:ascii="宋体" w:hAnsi="宋体" w:cs="宋体"/>
                <w:color w:val="auto"/>
                <w:kern w:val="0"/>
                <w:sz w:val="18"/>
                <w:szCs w:val="18"/>
                <w:highlight w:val="none"/>
                <w:lang w:eastAsia="zh-CN"/>
              </w:rPr>
              <w:t>比</w:t>
            </w:r>
          </w:p>
        </w:tc>
        <w:tc>
          <w:tcPr>
            <w:tcW w:w="2340" w:type="dxa"/>
            <w:tcBorders>
              <w:top w:val="nil"/>
              <w:left w:val="nil"/>
              <w:bottom w:val="single" w:color="auto" w:sz="4" w:space="0"/>
              <w:right w:val="single" w:color="auto" w:sz="4" w:space="0"/>
            </w:tcBorders>
            <w:noWrap w:val="0"/>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项  目</w:t>
            </w:r>
          </w:p>
        </w:tc>
        <w:tc>
          <w:tcPr>
            <w:tcW w:w="855" w:type="dxa"/>
            <w:tcBorders>
              <w:top w:val="nil"/>
              <w:left w:val="nil"/>
              <w:bottom w:val="single" w:color="auto" w:sz="4" w:space="0"/>
              <w:right w:val="single" w:color="auto" w:sz="4" w:space="0"/>
            </w:tcBorders>
            <w:noWrap w:val="0"/>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eastAsia="zh-CN"/>
              </w:rPr>
              <w:t>预算调整数</w:t>
            </w:r>
          </w:p>
        </w:tc>
        <w:tc>
          <w:tcPr>
            <w:tcW w:w="780" w:type="dxa"/>
            <w:tcBorders>
              <w:top w:val="nil"/>
              <w:left w:val="nil"/>
              <w:bottom w:val="single" w:color="auto" w:sz="4" w:space="0"/>
              <w:right w:val="single" w:color="auto" w:sz="4" w:space="0"/>
            </w:tcBorders>
            <w:noWrap w:val="0"/>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eastAsia="zh-CN"/>
              </w:rPr>
              <w:t>预算执行数</w:t>
            </w:r>
          </w:p>
        </w:tc>
        <w:tc>
          <w:tcPr>
            <w:tcW w:w="972" w:type="dxa"/>
            <w:tcBorders>
              <w:top w:val="nil"/>
              <w:left w:val="nil"/>
              <w:bottom w:val="single" w:color="auto" w:sz="4" w:space="0"/>
              <w:right w:val="single" w:color="auto" w:sz="4" w:space="0"/>
            </w:tcBorders>
            <w:noWrap w:val="0"/>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eastAsia="zh-CN"/>
              </w:rPr>
              <w:t>预算执行</w:t>
            </w:r>
            <w:r>
              <w:rPr>
                <w:rFonts w:hint="eastAsia" w:ascii="宋体" w:hAnsi="宋体" w:cs="宋体"/>
                <w:color w:val="auto"/>
                <w:kern w:val="0"/>
                <w:sz w:val="18"/>
                <w:szCs w:val="18"/>
                <w:highlight w:val="none"/>
              </w:rPr>
              <w:t>占预算调整</w:t>
            </w:r>
            <w:r>
              <w:rPr>
                <w:rFonts w:hint="eastAsia" w:ascii="宋体" w:hAnsi="宋体" w:cs="宋体"/>
                <w:color w:val="auto"/>
                <w:kern w:val="0"/>
                <w:sz w:val="18"/>
                <w:szCs w:val="18"/>
                <w:highlight w:val="none"/>
                <w:lang w:eastAsia="zh-CN"/>
              </w:rPr>
              <w:t>比</w:t>
            </w:r>
          </w:p>
        </w:tc>
      </w:tr>
      <w:tr>
        <w:tblPrEx>
          <w:tblCellMar>
            <w:top w:w="0" w:type="dxa"/>
            <w:left w:w="108" w:type="dxa"/>
            <w:bottom w:w="0" w:type="dxa"/>
            <w:right w:w="108" w:type="dxa"/>
          </w:tblCellMar>
        </w:tblPrEx>
        <w:trPr>
          <w:trHeight w:val="430"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一、地方一般公共预算收入</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58000</w:t>
            </w: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59028</w:t>
            </w: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101.7%</w:t>
            </w: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一、地方一般公共预算支出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332114</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313004</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94.2%</w:t>
            </w:r>
          </w:p>
        </w:tc>
      </w:tr>
      <w:tr>
        <w:tblPrEx>
          <w:tblCellMar>
            <w:top w:w="0" w:type="dxa"/>
            <w:left w:w="108" w:type="dxa"/>
            <w:bottom w:w="0" w:type="dxa"/>
            <w:right w:w="108" w:type="dxa"/>
          </w:tblCellMar>
        </w:tblPrEx>
        <w:trPr>
          <w:trHeight w:val="392"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（一）税收收入</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43800</w:t>
            </w: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44180</w:t>
            </w: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100.8%</w:t>
            </w: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201.一般公共服务支出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43793</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36523</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83.4%</w:t>
            </w:r>
          </w:p>
        </w:tc>
      </w:tr>
      <w:tr>
        <w:tblPrEx>
          <w:tblCellMar>
            <w:top w:w="0" w:type="dxa"/>
            <w:left w:w="108" w:type="dxa"/>
            <w:bottom w:w="0" w:type="dxa"/>
            <w:right w:w="108" w:type="dxa"/>
          </w:tblCellMar>
        </w:tblPrEx>
        <w:trPr>
          <w:trHeight w:val="396"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（二）非税收入</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14200</w:t>
            </w: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14848</w:t>
            </w: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104.5%</w:t>
            </w: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203.国防支出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80</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43</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53.7%</w:t>
            </w:r>
          </w:p>
        </w:tc>
      </w:tr>
      <w:tr>
        <w:tblPrEx>
          <w:tblCellMar>
            <w:top w:w="0" w:type="dxa"/>
            <w:left w:w="108" w:type="dxa"/>
            <w:bottom w:w="0" w:type="dxa"/>
            <w:right w:w="108" w:type="dxa"/>
          </w:tblCellMar>
        </w:tblPrEx>
        <w:trPr>
          <w:trHeight w:val="344"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二、上级补助收入</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221893</w:t>
            </w: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237915</w:t>
            </w: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107.2%</w:t>
            </w: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204.公共安全支出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11854</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10365</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87.4%</w:t>
            </w:r>
          </w:p>
        </w:tc>
      </w:tr>
      <w:tr>
        <w:tblPrEx>
          <w:tblCellMar>
            <w:top w:w="0" w:type="dxa"/>
            <w:left w:w="108" w:type="dxa"/>
            <w:bottom w:w="0" w:type="dxa"/>
            <w:right w:w="108" w:type="dxa"/>
          </w:tblCellMar>
        </w:tblPrEx>
        <w:trPr>
          <w:trHeight w:val="336"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（一）返还性收入</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15471</w:t>
            </w: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15471</w:t>
            </w: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100%</w:t>
            </w: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205.教育支出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52213</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57502</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110.1%</w:t>
            </w:r>
          </w:p>
        </w:tc>
      </w:tr>
      <w:tr>
        <w:tblPrEx>
          <w:tblCellMar>
            <w:top w:w="0" w:type="dxa"/>
            <w:left w:w="108" w:type="dxa"/>
            <w:bottom w:w="0" w:type="dxa"/>
            <w:right w:w="108" w:type="dxa"/>
          </w:tblCellMar>
        </w:tblPrEx>
        <w:trPr>
          <w:trHeight w:val="328"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（二）一般转移支付收入</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184883</w:t>
            </w: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197879</w:t>
            </w: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107%</w:t>
            </w: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206.科学技术支出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4105</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4306</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104.9%</w:t>
            </w:r>
          </w:p>
        </w:tc>
      </w:tr>
      <w:tr>
        <w:tblPrEx>
          <w:tblCellMar>
            <w:top w:w="0" w:type="dxa"/>
            <w:left w:w="108" w:type="dxa"/>
            <w:bottom w:w="0" w:type="dxa"/>
            <w:right w:w="108" w:type="dxa"/>
          </w:tblCellMar>
        </w:tblPrEx>
        <w:trPr>
          <w:trHeight w:val="505"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（三）专项转移支付收入</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21539</w:t>
            </w: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24565</w:t>
            </w: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114%</w:t>
            </w: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207.文化旅游体育与传媒支出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5866</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6429</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109.6%</w:t>
            </w:r>
          </w:p>
        </w:tc>
      </w:tr>
      <w:tr>
        <w:tblPrEx>
          <w:tblCellMar>
            <w:top w:w="0" w:type="dxa"/>
            <w:left w:w="108" w:type="dxa"/>
            <w:bottom w:w="0" w:type="dxa"/>
            <w:right w:w="108" w:type="dxa"/>
          </w:tblCellMar>
        </w:tblPrEx>
        <w:trPr>
          <w:trHeight w:val="362"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三、上年结转结余</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17329</w:t>
            </w: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17329</w:t>
            </w: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100%</w:t>
            </w: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208.社会保障和就业支出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42723</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45557</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106.6%</w:t>
            </w:r>
          </w:p>
        </w:tc>
      </w:tr>
      <w:tr>
        <w:tblPrEx>
          <w:tblCellMar>
            <w:top w:w="0" w:type="dxa"/>
            <w:left w:w="108" w:type="dxa"/>
            <w:bottom w:w="0" w:type="dxa"/>
            <w:right w:w="108" w:type="dxa"/>
          </w:tblCellMar>
        </w:tblPrEx>
        <w:trPr>
          <w:trHeight w:val="284"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四、调入资金</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24731</w:t>
            </w: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29907</w:t>
            </w: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120.9%</w:t>
            </w: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210.卫生健康支出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49532</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41618</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84%</w:t>
            </w:r>
          </w:p>
        </w:tc>
      </w:tr>
      <w:tr>
        <w:tblPrEx>
          <w:tblCellMar>
            <w:top w:w="0" w:type="dxa"/>
            <w:left w:w="108" w:type="dxa"/>
            <w:bottom w:w="0" w:type="dxa"/>
            <w:right w:w="108" w:type="dxa"/>
          </w:tblCellMar>
        </w:tblPrEx>
        <w:trPr>
          <w:trHeight w:val="334"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五、动用预算稳定调节基金</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9377</w:t>
            </w: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9377</w:t>
            </w: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100%</w:t>
            </w: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211.节能环保支出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8690</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8544</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98.3%</w:t>
            </w:r>
          </w:p>
        </w:tc>
      </w:tr>
      <w:tr>
        <w:tblPrEx>
          <w:tblCellMar>
            <w:top w:w="0" w:type="dxa"/>
            <w:left w:w="108" w:type="dxa"/>
            <w:bottom w:w="0" w:type="dxa"/>
            <w:right w:w="108" w:type="dxa"/>
          </w:tblCellMar>
        </w:tblPrEx>
        <w:trPr>
          <w:trHeight w:val="384"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六、债券转贷收入</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23229</w:t>
            </w: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23229</w:t>
            </w: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100%</w:t>
            </w: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212.城乡社区支出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8625</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7588</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87.9%</w:t>
            </w:r>
          </w:p>
        </w:tc>
      </w:tr>
      <w:tr>
        <w:tblPrEx>
          <w:tblCellMar>
            <w:top w:w="0" w:type="dxa"/>
            <w:left w:w="108" w:type="dxa"/>
            <w:bottom w:w="0" w:type="dxa"/>
            <w:right w:w="108" w:type="dxa"/>
          </w:tblCellMar>
        </w:tblPrEx>
        <w:trPr>
          <w:trHeight w:val="353"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213.农林水支出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63709</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60632</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95.1%</w:t>
            </w:r>
          </w:p>
        </w:tc>
      </w:tr>
      <w:tr>
        <w:tblPrEx>
          <w:tblCellMar>
            <w:top w:w="0" w:type="dxa"/>
            <w:left w:w="108" w:type="dxa"/>
            <w:bottom w:w="0" w:type="dxa"/>
            <w:right w:w="108" w:type="dxa"/>
          </w:tblCellMar>
        </w:tblPrEx>
        <w:trPr>
          <w:trHeight w:val="315"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214.交通运输支出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17424</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13693</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78.5%</w:t>
            </w:r>
          </w:p>
        </w:tc>
      </w:tr>
      <w:tr>
        <w:tblPrEx>
          <w:tblCellMar>
            <w:top w:w="0" w:type="dxa"/>
            <w:left w:w="108" w:type="dxa"/>
            <w:bottom w:w="0" w:type="dxa"/>
            <w:right w:w="108" w:type="dxa"/>
          </w:tblCellMar>
        </w:tblPrEx>
        <w:trPr>
          <w:trHeight w:val="505"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215.资源勘探工业信息等支出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1716</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1715</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99.9%</w:t>
            </w:r>
          </w:p>
        </w:tc>
      </w:tr>
      <w:tr>
        <w:tblPrEx>
          <w:tblCellMar>
            <w:top w:w="0" w:type="dxa"/>
            <w:left w:w="108" w:type="dxa"/>
            <w:bottom w:w="0" w:type="dxa"/>
            <w:right w:w="108" w:type="dxa"/>
          </w:tblCellMar>
        </w:tblPrEx>
        <w:trPr>
          <w:trHeight w:val="306"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216.商业服务业等支出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765</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636</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83.1%</w:t>
            </w:r>
          </w:p>
        </w:tc>
      </w:tr>
      <w:tr>
        <w:tblPrEx>
          <w:tblCellMar>
            <w:top w:w="0" w:type="dxa"/>
            <w:left w:w="108" w:type="dxa"/>
            <w:bottom w:w="0" w:type="dxa"/>
            <w:right w:w="108" w:type="dxa"/>
          </w:tblCellMar>
        </w:tblPrEx>
        <w:trPr>
          <w:trHeight w:val="295"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220.自然资源海洋气象等</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4211</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3417</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81.1%</w:t>
            </w:r>
          </w:p>
        </w:tc>
      </w:tr>
      <w:tr>
        <w:tblPrEx>
          <w:tblCellMar>
            <w:top w:w="0" w:type="dxa"/>
            <w:left w:w="108" w:type="dxa"/>
            <w:bottom w:w="0" w:type="dxa"/>
            <w:right w:w="108" w:type="dxa"/>
          </w:tblCellMar>
        </w:tblPrEx>
        <w:trPr>
          <w:trHeight w:val="255"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221.住房保障支出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6024</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5792</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96.1%</w:t>
            </w:r>
          </w:p>
        </w:tc>
      </w:tr>
      <w:tr>
        <w:tblPrEx>
          <w:tblCellMar>
            <w:top w:w="0" w:type="dxa"/>
            <w:left w:w="108" w:type="dxa"/>
            <w:bottom w:w="0" w:type="dxa"/>
            <w:right w:w="108" w:type="dxa"/>
          </w:tblCellMar>
        </w:tblPrEx>
        <w:trPr>
          <w:trHeight w:val="362"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222.粮油物资储备支出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583</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519</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89%</w:t>
            </w:r>
          </w:p>
        </w:tc>
      </w:tr>
      <w:tr>
        <w:tblPrEx>
          <w:tblCellMar>
            <w:top w:w="0" w:type="dxa"/>
            <w:left w:w="108" w:type="dxa"/>
            <w:bottom w:w="0" w:type="dxa"/>
            <w:right w:w="108" w:type="dxa"/>
          </w:tblCellMar>
        </w:tblPrEx>
        <w:trPr>
          <w:trHeight w:val="356"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224.灾害防治及应急管理</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3180</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1824</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57.3%</w:t>
            </w:r>
          </w:p>
        </w:tc>
      </w:tr>
      <w:tr>
        <w:tblPrEx>
          <w:tblCellMar>
            <w:top w:w="0" w:type="dxa"/>
            <w:left w:w="108" w:type="dxa"/>
            <w:bottom w:w="0" w:type="dxa"/>
            <w:right w:w="108" w:type="dxa"/>
          </w:tblCellMar>
        </w:tblPrEx>
        <w:trPr>
          <w:trHeight w:val="287"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227.预备费</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r>
      <w:tr>
        <w:tblPrEx>
          <w:tblCellMar>
            <w:top w:w="0" w:type="dxa"/>
            <w:left w:w="108" w:type="dxa"/>
            <w:bottom w:w="0" w:type="dxa"/>
            <w:right w:w="108" w:type="dxa"/>
          </w:tblCellMar>
        </w:tblPrEx>
        <w:trPr>
          <w:trHeight w:val="332"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229.其他支出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r>
      <w:tr>
        <w:tblPrEx>
          <w:tblCellMar>
            <w:top w:w="0" w:type="dxa"/>
            <w:left w:w="108" w:type="dxa"/>
            <w:bottom w:w="0" w:type="dxa"/>
            <w:right w:w="108" w:type="dxa"/>
          </w:tblCellMar>
        </w:tblPrEx>
        <w:trPr>
          <w:trHeight w:val="320"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232.债务付息支出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7000</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6280</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89.7%</w:t>
            </w:r>
          </w:p>
        </w:tc>
      </w:tr>
      <w:tr>
        <w:tblPrEx>
          <w:tblCellMar>
            <w:top w:w="0" w:type="dxa"/>
            <w:left w:w="108" w:type="dxa"/>
            <w:bottom w:w="0" w:type="dxa"/>
            <w:right w:w="108" w:type="dxa"/>
          </w:tblCellMar>
        </w:tblPrEx>
        <w:trPr>
          <w:trHeight w:val="347"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233、债务发行费</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21</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21</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100%</w:t>
            </w:r>
          </w:p>
        </w:tc>
      </w:tr>
      <w:tr>
        <w:tblPrEx>
          <w:tblCellMar>
            <w:top w:w="0" w:type="dxa"/>
            <w:left w:w="108" w:type="dxa"/>
            <w:bottom w:w="0" w:type="dxa"/>
            <w:right w:w="108" w:type="dxa"/>
          </w:tblCellMar>
        </w:tblPrEx>
        <w:trPr>
          <w:trHeight w:val="366"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二、</w:t>
            </w:r>
            <w:r>
              <w:rPr>
                <w:rFonts w:hint="eastAsia" w:ascii="宋体" w:hAnsi="宋体" w:cs="宋体"/>
                <w:color w:val="auto"/>
                <w:kern w:val="0"/>
                <w:sz w:val="18"/>
                <w:szCs w:val="18"/>
                <w:highlight w:val="none"/>
                <w:lang w:eastAsia="zh-CN"/>
              </w:rPr>
              <w:t>安排</w:t>
            </w:r>
            <w:r>
              <w:rPr>
                <w:rFonts w:hint="eastAsia" w:ascii="宋体" w:hAnsi="宋体" w:cs="宋体"/>
                <w:color w:val="auto"/>
                <w:kern w:val="0"/>
                <w:sz w:val="18"/>
                <w:szCs w:val="18"/>
                <w:highlight w:val="none"/>
              </w:rPr>
              <w:t>预算稳定调节基金</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4632</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r>
      <w:tr>
        <w:tblPrEx>
          <w:tblCellMar>
            <w:top w:w="0" w:type="dxa"/>
            <w:left w:w="108" w:type="dxa"/>
            <w:bottom w:w="0" w:type="dxa"/>
            <w:right w:w="108" w:type="dxa"/>
          </w:tblCellMar>
        </w:tblPrEx>
        <w:trPr>
          <w:trHeight w:val="365"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三、债务还本支出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11481</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11481</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100%</w:t>
            </w:r>
          </w:p>
        </w:tc>
      </w:tr>
      <w:tr>
        <w:tblPrEx>
          <w:tblCellMar>
            <w:top w:w="0" w:type="dxa"/>
            <w:left w:w="108" w:type="dxa"/>
            <w:bottom w:w="0" w:type="dxa"/>
            <w:right w:w="108" w:type="dxa"/>
          </w:tblCellMar>
        </w:tblPrEx>
        <w:trPr>
          <w:trHeight w:val="299"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四、上解支出</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10964</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15285</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w:t>
            </w:r>
            <w:r>
              <w:rPr>
                <w:rFonts w:hint="eastAsia" w:ascii="宋体" w:hAnsi="宋体" w:cs="宋体"/>
                <w:color w:val="auto"/>
                <w:kern w:val="0"/>
                <w:sz w:val="18"/>
                <w:szCs w:val="18"/>
                <w:highlight w:val="none"/>
                <w:lang w:val="en-US" w:eastAsia="zh-CN"/>
              </w:rPr>
              <w:t>39.4</w:t>
            </w:r>
            <w:r>
              <w:rPr>
                <w:rFonts w:hint="eastAsia" w:ascii="宋体" w:hAnsi="宋体" w:cs="宋体"/>
                <w:color w:val="auto"/>
                <w:kern w:val="0"/>
                <w:sz w:val="18"/>
                <w:szCs w:val="18"/>
                <w:highlight w:val="none"/>
              </w:rPr>
              <w:t>%</w:t>
            </w:r>
          </w:p>
        </w:tc>
      </w:tr>
      <w:tr>
        <w:tblPrEx>
          <w:tblCellMar>
            <w:top w:w="0" w:type="dxa"/>
            <w:left w:w="108" w:type="dxa"/>
            <w:bottom w:w="0" w:type="dxa"/>
            <w:right w:w="108" w:type="dxa"/>
          </w:tblCellMar>
        </w:tblPrEx>
        <w:trPr>
          <w:trHeight w:val="387"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收入合计</w:t>
            </w:r>
          </w:p>
        </w:tc>
        <w:tc>
          <w:tcPr>
            <w:tcW w:w="865"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354559</w:t>
            </w:r>
          </w:p>
        </w:tc>
        <w:tc>
          <w:tcPr>
            <w:tcW w:w="883"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376785</w:t>
            </w:r>
          </w:p>
        </w:tc>
        <w:tc>
          <w:tcPr>
            <w:tcW w:w="984"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1</w:t>
            </w:r>
            <w:r>
              <w:rPr>
                <w:rFonts w:hint="eastAsia" w:ascii="宋体" w:hAnsi="宋体" w:cs="宋体"/>
                <w:color w:val="auto"/>
                <w:kern w:val="0"/>
                <w:sz w:val="18"/>
                <w:szCs w:val="18"/>
                <w:highlight w:val="none"/>
                <w:lang w:val="en-US" w:eastAsia="zh-CN"/>
              </w:rPr>
              <w:t>06.2</w:t>
            </w:r>
            <w:r>
              <w:rPr>
                <w:rFonts w:hint="eastAsia" w:ascii="宋体" w:hAnsi="宋体" w:cs="宋体"/>
                <w:color w:val="auto"/>
                <w:kern w:val="0"/>
                <w:sz w:val="18"/>
                <w:szCs w:val="18"/>
                <w:highlight w:val="none"/>
              </w:rPr>
              <w:t>%</w:t>
            </w: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支出合计</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rPr>
              <w:t>354559</w:t>
            </w: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344402</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val="en-US" w:eastAsia="zh-CN"/>
              </w:rPr>
              <w:t>97.1</w:t>
            </w:r>
            <w:r>
              <w:rPr>
                <w:rFonts w:hint="eastAsia" w:ascii="宋体" w:hAnsi="宋体" w:cs="宋体"/>
                <w:color w:val="auto"/>
                <w:kern w:val="0"/>
                <w:sz w:val="18"/>
                <w:szCs w:val="18"/>
                <w:highlight w:val="none"/>
              </w:rPr>
              <w:t>%</w:t>
            </w:r>
          </w:p>
        </w:tc>
      </w:tr>
      <w:tr>
        <w:tblPrEx>
          <w:tblCellMar>
            <w:top w:w="0" w:type="dxa"/>
            <w:left w:w="108" w:type="dxa"/>
            <w:bottom w:w="0" w:type="dxa"/>
            <w:right w:w="108" w:type="dxa"/>
          </w:tblCellMar>
        </w:tblPrEx>
        <w:trPr>
          <w:trHeight w:val="365" w:hRule="atLeast"/>
          <w:jc w:val="center"/>
        </w:trPr>
        <w:tc>
          <w:tcPr>
            <w:tcW w:w="2354"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865"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p>
        </w:tc>
        <w:tc>
          <w:tcPr>
            <w:tcW w:w="883"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p>
        </w:tc>
        <w:tc>
          <w:tcPr>
            <w:tcW w:w="984"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p>
        </w:tc>
        <w:tc>
          <w:tcPr>
            <w:tcW w:w="2340" w:type="dxa"/>
            <w:tcBorders>
              <w:top w:val="nil"/>
              <w:left w:val="nil"/>
              <w:bottom w:val="single" w:color="auto" w:sz="4" w:space="0"/>
              <w:right w:val="single" w:color="auto" w:sz="4" w:space="0"/>
            </w:tcBorders>
            <w:noWrap/>
            <w:vAlign w:val="center"/>
          </w:tcPr>
          <w:p>
            <w:pPr>
              <w:widowControl/>
              <w:spacing w:line="220" w:lineRule="exact"/>
              <w:jc w:val="left"/>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结转下年</w:t>
            </w:r>
          </w:p>
        </w:tc>
        <w:tc>
          <w:tcPr>
            <w:tcW w:w="855"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c>
          <w:tcPr>
            <w:tcW w:w="7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32383</w:t>
            </w:r>
          </w:p>
        </w:tc>
        <w:tc>
          <w:tcPr>
            <w:tcW w:w="972"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color w:val="auto"/>
                <w:kern w:val="0"/>
                <w:sz w:val="18"/>
                <w:szCs w:val="18"/>
                <w:highlight w:val="none"/>
              </w:rPr>
            </w:pP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黑体" w:hAnsi="黑体" w:eastAsia="黑体" w:cs="宋体"/>
          <w:color w:val="auto"/>
          <w:kern w:val="0"/>
          <w:sz w:val="32"/>
          <w:szCs w:val="32"/>
          <w:highlight w:val="none"/>
        </w:rPr>
      </w:pPr>
      <w:r>
        <w:rPr>
          <w:rFonts w:hint="eastAsia" w:ascii="黑体" w:hAnsi="黑体" w:eastAsia="黑体" w:cs="宋体"/>
          <w:color w:val="auto"/>
          <w:kern w:val="0"/>
          <w:sz w:val="32"/>
          <w:szCs w:val="32"/>
          <w:highlight w:val="none"/>
        </w:rPr>
        <w:t>附件2</w:t>
      </w:r>
      <w:r>
        <w:rPr>
          <w:rFonts w:hint="eastAsia" w:ascii="黑体" w:hAnsi="黑体" w:eastAsia="黑体" w:cs="宋体"/>
          <w:color w:val="auto"/>
          <w:kern w:val="0"/>
          <w:sz w:val="32"/>
          <w:szCs w:val="32"/>
          <w:highlight w:val="none"/>
          <w:lang w:val="en-US" w:eastAsia="zh-CN"/>
        </w:rPr>
        <w:t>-02</w:t>
      </w:r>
      <w:r>
        <w:rPr>
          <w:rFonts w:hint="eastAsia" w:ascii="黑体" w:hAnsi="黑体" w:eastAsia="黑体" w:cs="宋体"/>
          <w:color w:val="auto"/>
          <w:kern w:val="0"/>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宋体" w:eastAsia="方正小标宋简体" w:cs="宋体"/>
          <w:color w:val="auto"/>
          <w:sz w:val="44"/>
          <w:szCs w:val="44"/>
          <w:highlight w:val="none"/>
        </w:rPr>
      </w:pPr>
      <w:r>
        <w:rPr>
          <w:rFonts w:hint="eastAsia" w:ascii="方正小标宋简体" w:eastAsia="方正小标宋简体"/>
          <w:color w:val="auto"/>
          <w:sz w:val="44"/>
          <w:szCs w:val="44"/>
          <w:highlight w:val="none"/>
        </w:rPr>
        <w:t>2021年政府性基金预算</w:t>
      </w:r>
      <w:r>
        <w:rPr>
          <w:rFonts w:hint="eastAsia" w:ascii="方正小标宋简体" w:eastAsia="方正小标宋简体"/>
          <w:color w:val="auto"/>
          <w:sz w:val="44"/>
          <w:szCs w:val="44"/>
          <w:highlight w:val="none"/>
          <w:lang w:eastAsia="zh-CN"/>
        </w:rPr>
        <w:t>执行情况</w:t>
      </w:r>
      <w:r>
        <w:rPr>
          <w:rFonts w:hint="eastAsia" w:ascii="方正小标宋简体" w:eastAsia="方正小标宋简体"/>
          <w:color w:val="auto"/>
          <w:sz w:val="44"/>
          <w:szCs w:val="44"/>
          <w:highlight w:val="none"/>
        </w:rPr>
        <w:t>表</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ascii="宋体" w:hAnsi="宋体" w:cs="宋体"/>
          <w:color w:val="auto"/>
          <w:sz w:val="22"/>
          <w:szCs w:val="22"/>
          <w:highlight w:val="none"/>
        </w:rPr>
      </w:pPr>
      <w:r>
        <w:rPr>
          <w:rFonts w:hint="eastAsia" w:ascii="仿宋_GB2312" w:hAnsi="宋体" w:eastAsia="仿宋_GB2312" w:cs="宋体"/>
          <w:color w:val="auto"/>
          <w:kern w:val="0"/>
          <w:sz w:val="32"/>
          <w:szCs w:val="32"/>
          <w:highlight w:val="none"/>
        </w:rPr>
        <w:t xml:space="preserve">  </w:t>
      </w:r>
      <w:r>
        <w:rPr>
          <w:rFonts w:hint="eastAsia" w:ascii="宋体" w:hAnsi="宋体" w:cs="宋体"/>
          <w:color w:val="auto"/>
          <w:kern w:val="0"/>
          <w:szCs w:val="21"/>
          <w:highlight w:val="none"/>
        </w:rPr>
        <w:t xml:space="preserve">                                          </w:t>
      </w:r>
      <w:r>
        <w:rPr>
          <w:rFonts w:hint="eastAsia" w:ascii="宋体" w:hAnsi="宋体" w:cs="宋体"/>
          <w:color w:val="auto"/>
          <w:kern w:val="0"/>
          <w:sz w:val="22"/>
          <w:szCs w:val="22"/>
          <w:highlight w:val="none"/>
        </w:rPr>
        <w:t xml:space="preserve">  </w:t>
      </w:r>
      <w:r>
        <w:rPr>
          <w:rFonts w:hint="eastAsia" w:ascii="宋体" w:hAnsi="宋体"/>
          <w:color w:val="auto"/>
          <w:sz w:val="22"/>
          <w:szCs w:val="22"/>
          <w:highlight w:val="none"/>
        </w:rPr>
        <w:t>单位：万元</w:t>
      </w:r>
    </w:p>
    <w:tbl>
      <w:tblPr>
        <w:tblStyle w:val="11"/>
        <w:tblW w:w="0" w:type="auto"/>
        <w:jc w:val="center"/>
        <w:tblLayout w:type="fixed"/>
        <w:tblCellMar>
          <w:top w:w="0" w:type="dxa"/>
          <w:left w:w="108" w:type="dxa"/>
          <w:bottom w:w="0" w:type="dxa"/>
          <w:right w:w="108" w:type="dxa"/>
        </w:tblCellMar>
      </w:tblPr>
      <w:tblGrid>
        <w:gridCol w:w="2303"/>
        <w:gridCol w:w="849"/>
        <w:gridCol w:w="850"/>
        <w:gridCol w:w="851"/>
        <w:gridCol w:w="2262"/>
        <w:gridCol w:w="793"/>
        <w:gridCol w:w="764"/>
        <w:gridCol w:w="1071"/>
      </w:tblGrid>
      <w:tr>
        <w:tblPrEx>
          <w:tblCellMar>
            <w:top w:w="0" w:type="dxa"/>
            <w:left w:w="108" w:type="dxa"/>
            <w:bottom w:w="0" w:type="dxa"/>
            <w:right w:w="108" w:type="dxa"/>
          </w:tblCellMar>
        </w:tblPrEx>
        <w:trPr>
          <w:trHeight w:val="437" w:hRule="atLeast"/>
          <w:jc w:val="center"/>
        </w:trPr>
        <w:tc>
          <w:tcPr>
            <w:tcW w:w="4853"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收     入</w:t>
            </w:r>
          </w:p>
        </w:tc>
        <w:tc>
          <w:tcPr>
            <w:tcW w:w="4890" w:type="dxa"/>
            <w:gridSpan w:val="4"/>
            <w:tcBorders>
              <w:top w:val="single" w:color="auto" w:sz="4" w:space="0"/>
              <w:left w:val="nil"/>
              <w:bottom w:val="single" w:color="auto" w:sz="4" w:space="0"/>
              <w:right w:val="single" w:color="auto" w:sz="4" w:space="0"/>
            </w:tcBorders>
            <w:noWrap/>
            <w:vAlign w:val="center"/>
          </w:tcPr>
          <w:p>
            <w:pPr>
              <w:widowControl/>
              <w:spacing w:line="26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支      出</w:t>
            </w:r>
          </w:p>
        </w:tc>
      </w:tr>
      <w:tr>
        <w:tblPrEx>
          <w:tblCellMar>
            <w:top w:w="0" w:type="dxa"/>
            <w:left w:w="108" w:type="dxa"/>
            <w:bottom w:w="0" w:type="dxa"/>
            <w:right w:w="108" w:type="dxa"/>
          </w:tblCellMar>
        </w:tblPrEx>
        <w:trPr>
          <w:trHeight w:val="875" w:hRule="atLeast"/>
          <w:jc w:val="center"/>
        </w:trPr>
        <w:tc>
          <w:tcPr>
            <w:tcW w:w="2303" w:type="dxa"/>
            <w:tcBorders>
              <w:top w:val="nil"/>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项    目</w:t>
            </w:r>
          </w:p>
        </w:tc>
        <w:tc>
          <w:tcPr>
            <w:tcW w:w="849"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预算调整数</w:t>
            </w:r>
          </w:p>
        </w:tc>
        <w:tc>
          <w:tcPr>
            <w:tcW w:w="850"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预算执行数</w:t>
            </w:r>
          </w:p>
        </w:tc>
        <w:tc>
          <w:tcPr>
            <w:tcW w:w="851"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预算执行</w:t>
            </w:r>
            <w:r>
              <w:rPr>
                <w:rFonts w:hint="eastAsia" w:ascii="宋体" w:hAnsi="宋体" w:cs="宋体"/>
                <w:color w:val="auto"/>
                <w:kern w:val="0"/>
                <w:sz w:val="18"/>
                <w:szCs w:val="18"/>
                <w:highlight w:val="none"/>
              </w:rPr>
              <w:t>占预算调整</w:t>
            </w:r>
            <w:r>
              <w:rPr>
                <w:rFonts w:hint="eastAsia" w:ascii="宋体" w:hAnsi="宋体" w:cs="宋体"/>
                <w:color w:val="auto"/>
                <w:kern w:val="0"/>
                <w:sz w:val="18"/>
                <w:szCs w:val="18"/>
                <w:highlight w:val="none"/>
                <w:lang w:eastAsia="zh-CN"/>
              </w:rPr>
              <w:t>比</w:t>
            </w:r>
          </w:p>
        </w:tc>
        <w:tc>
          <w:tcPr>
            <w:tcW w:w="2262" w:type="dxa"/>
            <w:tcBorders>
              <w:top w:val="nil"/>
              <w:left w:val="nil"/>
              <w:bottom w:val="single" w:color="auto" w:sz="4" w:space="0"/>
              <w:right w:val="single" w:color="auto" w:sz="4" w:space="0"/>
            </w:tcBorders>
            <w:noWrap w:val="0"/>
            <w:vAlign w:val="center"/>
          </w:tcPr>
          <w:p>
            <w:pPr>
              <w:widowControl/>
              <w:spacing w:line="26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项   目</w:t>
            </w:r>
          </w:p>
        </w:tc>
        <w:tc>
          <w:tcPr>
            <w:tcW w:w="793"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预算调整数</w:t>
            </w:r>
          </w:p>
        </w:tc>
        <w:tc>
          <w:tcPr>
            <w:tcW w:w="764"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预算执行数</w:t>
            </w:r>
          </w:p>
        </w:tc>
        <w:tc>
          <w:tcPr>
            <w:tcW w:w="1071"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宋体" w:hAnsi="宋体" w:eastAsia="宋体" w:cs="宋体"/>
                <w:color w:val="auto"/>
                <w:kern w:val="0"/>
                <w:sz w:val="18"/>
                <w:szCs w:val="18"/>
                <w:highlight w:val="none"/>
                <w:lang w:eastAsia="zh-CN"/>
              </w:rPr>
            </w:pPr>
            <w:r>
              <w:rPr>
                <w:rFonts w:hint="eastAsia" w:ascii="宋体" w:hAnsi="宋体" w:cs="宋体"/>
                <w:color w:val="auto"/>
                <w:kern w:val="0"/>
                <w:sz w:val="18"/>
                <w:szCs w:val="18"/>
                <w:highlight w:val="none"/>
                <w:lang w:eastAsia="zh-CN"/>
              </w:rPr>
              <w:t>预算执行</w:t>
            </w:r>
            <w:r>
              <w:rPr>
                <w:rFonts w:hint="eastAsia" w:ascii="宋体" w:hAnsi="宋体" w:cs="宋体"/>
                <w:color w:val="auto"/>
                <w:kern w:val="0"/>
                <w:sz w:val="18"/>
                <w:szCs w:val="18"/>
                <w:highlight w:val="none"/>
              </w:rPr>
              <w:t>占预算调整</w:t>
            </w:r>
            <w:r>
              <w:rPr>
                <w:rFonts w:hint="eastAsia" w:ascii="宋体" w:hAnsi="宋体" w:cs="宋体"/>
                <w:color w:val="auto"/>
                <w:kern w:val="0"/>
                <w:sz w:val="18"/>
                <w:szCs w:val="18"/>
                <w:highlight w:val="none"/>
                <w:lang w:eastAsia="zh-CN"/>
              </w:rPr>
              <w:t>比</w:t>
            </w:r>
          </w:p>
        </w:tc>
      </w:tr>
      <w:tr>
        <w:tblPrEx>
          <w:tblCellMar>
            <w:top w:w="0" w:type="dxa"/>
            <w:left w:w="108" w:type="dxa"/>
            <w:bottom w:w="0" w:type="dxa"/>
            <w:right w:w="108" w:type="dxa"/>
          </w:tblCellMar>
        </w:tblPrEx>
        <w:trPr>
          <w:trHeight w:val="687"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一、本级收入</w:t>
            </w:r>
          </w:p>
        </w:tc>
        <w:tc>
          <w:tcPr>
            <w:tcW w:w="849"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75671</w:t>
            </w:r>
          </w:p>
        </w:tc>
        <w:tc>
          <w:tcPr>
            <w:tcW w:w="850" w:type="dxa"/>
            <w:tcBorders>
              <w:top w:val="single" w:color="auto" w:sz="4" w:space="0"/>
              <w:left w:val="nil"/>
              <w:bottom w:val="single" w:color="auto" w:sz="4" w:space="0"/>
              <w:right w:val="single" w:color="auto" w:sz="4" w:space="0"/>
            </w:tcBorders>
            <w:noWrap/>
            <w:vAlign w:val="center"/>
          </w:tcPr>
          <w:p>
            <w:pPr>
              <w:spacing w:line="260" w:lineRule="exact"/>
              <w:jc w:val="center"/>
              <w:rPr>
                <w:rFonts w:hint="default" w:ascii="宋体" w:hAnsi="宋体"/>
                <w:color w:val="auto"/>
                <w:sz w:val="18"/>
                <w:szCs w:val="18"/>
                <w:highlight w:val="none"/>
                <w:lang w:val="en-US" w:eastAsia="zh-CN"/>
              </w:rPr>
            </w:pPr>
            <w:r>
              <w:rPr>
                <w:rFonts w:hint="eastAsia" w:ascii="宋体" w:hAnsi="宋体"/>
                <w:color w:val="auto"/>
                <w:sz w:val="18"/>
                <w:szCs w:val="18"/>
                <w:highlight w:val="none"/>
                <w:lang w:val="en-US" w:eastAsia="zh-CN"/>
              </w:rPr>
              <w:t>75710</w:t>
            </w:r>
          </w:p>
        </w:tc>
        <w:tc>
          <w:tcPr>
            <w:tcW w:w="851" w:type="dxa"/>
            <w:tcBorders>
              <w:top w:val="single" w:color="auto" w:sz="4" w:space="0"/>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100%</w:t>
            </w:r>
          </w:p>
        </w:tc>
        <w:tc>
          <w:tcPr>
            <w:tcW w:w="2262" w:type="dxa"/>
            <w:tcBorders>
              <w:top w:val="nil"/>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一、政府性基金支出</w:t>
            </w:r>
          </w:p>
        </w:tc>
        <w:tc>
          <w:tcPr>
            <w:tcW w:w="793" w:type="dxa"/>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190827</w:t>
            </w:r>
          </w:p>
        </w:tc>
        <w:tc>
          <w:tcPr>
            <w:tcW w:w="764" w:type="dxa"/>
            <w:tcBorders>
              <w:top w:val="single" w:color="auto" w:sz="4" w:space="0"/>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181707</w:t>
            </w:r>
          </w:p>
        </w:tc>
        <w:tc>
          <w:tcPr>
            <w:tcW w:w="1071" w:type="dxa"/>
            <w:tcBorders>
              <w:top w:val="single" w:color="auto" w:sz="4" w:space="0"/>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95.2%</w:t>
            </w:r>
          </w:p>
        </w:tc>
      </w:tr>
      <w:tr>
        <w:tblPrEx>
          <w:tblCellMar>
            <w:top w:w="0" w:type="dxa"/>
            <w:left w:w="108" w:type="dxa"/>
            <w:bottom w:w="0" w:type="dxa"/>
            <w:right w:w="108" w:type="dxa"/>
          </w:tblCellMar>
        </w:tblPrEx>
        <w:trPr>
          <w:trHeight w:val="664"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国有土地收益基金收入</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1982</w:t>
            </w: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1474</w:t>
            </w: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74.3%</w:t>
            </w:r>
          </w:p>
        </w:tc>
        <w:tc>
          <w:tcPr>
            <w:tcW w:w="2262" w:type="dxa"/>
            <w:tcBorders>
              <w:top w:val="nil"/>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207.文化旅游体育与传媒支出</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31</w:t>
            </w: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31</w:t>
            </w: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100%</w:t>
            </w:r>
          </w:p>
        </w:tc>
      </w:tr>
      <w:tr>
        <w:tblPrEx>
          <w:tblCellMar>
            <w:top w:w="0" w:type="dxa"/>
            <w:left w:w="108" w:type="dxa"/>
            <w:bottom w:w="0" w:type="dxa"/>
            <w:right w:w="108" w:type="dxa"/>
          </w:tblCellMar>
        </w:tblPrEx>
        <w:trPr>
          <w:trHeight w:val="641"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农业土地开发资金收入</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c>
          <w:tcPr>
            <w:tcW w:w="2262" w:type="dxa"/>
            <w:tcBorders>
              <w:top w:val="nil"/>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208.社会保障和就业支出</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5930</w:t>
            </w: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5164</w:t>
            </w: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87.1%</w:t>
            </w:r>
          </w:p>
        </w:tc>
      </w:tr>
      <w:tr>
        <w:tblPrEx>
          <w:tblCellMar>
            <w:top w:w="0" w:type="dxa"/>
            <w:left w:w="108" w:type="dxa"/>
            <w:bottom w:w="0" w:type="dxa"/>
            <w:right w:w="108" w:type="dxa"/>
          </w:tblCellMar>
        </w:tblPrEx>
        <w:trPr>
          <w:trHeight w:val="647"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国有土地使用权出让收入</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55570</w:t>
            </w: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55345</w:t>
            </w: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99.6%</w:t>
            </w:r>
          </w:p>
        </w:tc>
        <w:tc>
          <w:tcPr>
            <w:tcW w:w="2262" w:type="dxa"/>
            <w:tcBorders>
              <w:top w:val="nil"/>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212.城乡社区事务支出</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74397</w:t>
            </w: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74305</w:t>
            </w: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99.8%</w:t>
            </w:r>
          </w:p>
        </w:tc>
      </w:tr>
      <w:tr>
        <w:tblPrEx>
          <w:tblCellMar>
            <w:top w:w="0" w:type="dxa"/>
            <w:left w:w="108" w:type="dxa"/>
            <w:bottom w:w="0" w:type="dxa"/>
            <w:right w:w="108" w:type="dxa"/>
          </w:tblCellMar>
        </w:tblPrEx>
        <w:trPr>
          <w:trHeight w:val="653"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城市基础设施配套费收入</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636</w:t>
            </w: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642</w:t>
            </w: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100.9%</w:t>
            </w:r>
          </w:p>
        </w:tc>
        <w:tc>
          <w:tcPr>
            <w:tcW w:w="2262" w:type="dxa"/>
            <w:tcBorders>
              <w:top w:val="nil"/>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213.农林水支出</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66155</w:t>
            </w: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57986</w:t>
            </w: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87.6%</w:t>
            </w:r>
          </w:p>
        </w:tc>
      </w:tr>
      <w:tr>
        <w:tblPrEx>
          <w:tblCellMar>
            <w:top w:w="0" w:type="dxa"/>
            <w:left w:w="108" w:type="dxa"/>
            <w:bottom w:w="0" w:type="dxa"/>
            <w:right w:w="108" w:type="dxa"/>
          </w:tblCellMar>
        </w:tblPrEx>
        <w:trPr>
          <w:trHeight w:val="645"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污水处理费</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775</w:t>
            </w: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803</w:t>
            </w: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103.6%</w:t>
            </w:r>
          </w:p>
        </w:tc>
        <w:tc>
          <w:tcPr>
            <w:tcW w:w="2262" w:type="dxa"/>
            <w:tcBorders>
              <w:top w:val="nil"/>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214.交通</w:t>
            </w:r>
            <w:r>
              <w:rPr>
                <w:rFonts w:ascii="宋体" w:hAnsi="宋体"/>
                <w:color w:val="auto"/>
                <w:sz w:val="18"/>
                <w:szCs w:val="18"/>
                <w:highlight w:val="none"/>
              </w:rPr>
              <w:t>运输支出</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1194</w:t>
            </w: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1194</w:t>
            </w: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100%</w:t>
            </w:r>
          </w:p>
        </w:tc>
      </w:tr>
      <w:tr>
        <w:tblPrEx>
          <w:tblCellMar>
            <w:top w:w="0" w:type="dxa"/>
            <w:left w:w="108" w:type="dxa"/>
            <w:bottom w:w="0" w:type="dxa"/>
            <w:right w:w="108" w:type="dxa"/>
          </w:tblCellMar>
        </w:tblPrEx>
        <w:trPr>
          <w:trHeight w:val="645"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车辆</w:t>
            </w:r>
            <w:r>
              <w:rPr>
                <w:rFonts w:ascii="宋体" w:hAnsi="宋体"/>
                <w:color w:val="auto"/>
                <w:sz w:val="18"/>
                <w:szCs w:val="18"/>
                <w:highlight w:val="none"/>
              </w:rPr>
              <w:t>通行费</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1185</w:t>
            </w: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1085</w:t>
            </w: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91.5%</w:t>
            </w:r>
          </w:p>
        </w:tc>
        <w:tc>
          <w:tcPr>
            <w:tcW w:w="2262" w:type="dxa"/>
            <w:tcBorders>
              <w:top w:val="nil"/>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229.其他支出</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36195</w:t>
            </w: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36102</w:t>
            </w: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99.7%</w:t>
            </w:r>
          </w:p>
        </w:tc>
      </w:tr>
      <w:tr>
        <w:tblPrEx>
          <w:tblCellMar>
            <w:top w:w="0" w:type="dxa"/>
            <w:left w:w="108" w:type="dxa"/>
            <w:bottom w:w="0" w:type="dxa"/>
            <w:right w:w="108" w:type="dxa"/>
          </w:tblCellMar>
        </w:tblPrEx>
        <w:trPr>
          <w:trHeight w:val="653"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专项</w:t>
            </w:r>
            <w:r>
              <w:rPr>
                <w:rFonts w:ascii="宋体" w:hAnsi="宋体"/>
                <w:color w:val="auto"/>
                <w:sz w:val="18"/>
                <w:szCs w:val="18"/>
                <w:highlight w:val="none"/>
              </w:rPr>
              <w:t>债券对应项目专项收入</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15523</w:t>
            </w: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16361</w:t>
            </w: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105.4%</w:t>
            </w:r>
          </w:p>
        </w:tc>
        <w:tc>
          <w:tcPr>
            <w:tcW w:w="2262"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rPr>
                <w:rFonts w:ascii="宋体" w:hAnsi="宋体"/>
                <w:color w:val="auto"/>
                <w:kern w:val="0"/>
                <w:sz w:val="18"/>
                <w:szCs w:val="18"/>
                <w:highlight w:val="none"/>
              </w:rPr>
            </w:pPr>
            <w:r>
              <w:rPr>
                <w:rFonts w:hint="eastAsia" w:ascii="宋体" w:hAnsi="宋体"/>
                <w:color w:val="auto"/>
                <w:sz w:val="18"/>
                <w:szCs w:val="18"/>
                <w:highlight w:val="none"/>
              </w:rPr>
              <w:t>232.债务付息支出</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6878</w:t>
            </w: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6878</w:t>
            </w: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100%</w:t>
            </w:r>
          </w:p>
        </w:tc>
      </w:tr>
      <w:tr>
        <w:tblPrEx>
          <w:tblCellMar>
            <w:top w:w="0" w:type="dxa"/>
            <w:left w:w="108" w:type="dxa"/>
            <w:bottom w:w="0" w:type="dxa"/>
            <w:right w:w="108" w:type="dxa"/>
          </w:tblCellMar>
        </w:tblPrEx>
        <w:trPr>
          <w:trHeight w:val="630"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c>
          <w:tcPr>
            <w:tcW w:w="2262"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233.债务发行费支出</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47</w:t>
            </w: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47</w:t>
            </w: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100%</w:t>
            </w:r>
          </w:p>
        </w:tc>
      </w:tr>
      <w:tr>
        <w:tblPrEx>
          <w:tblCellMar>
            <w:top w:w="0" w:type="dxa"/>
            <w:left w:w="108" w:type="dxa"/>
            <w:bottom w:w="0" w:type="dxa"/>
            <w:right w:w="108" w:type="dxa"/>
          </w:tblCellMar>
        </w:tblPrEx>
        <w:trPr>
          <w:trHeight w:val="656"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二、上年结转收入</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25411</w:t>
            </w: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25411</w:t>
            </w: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100%</w:t>
            </w:r>
          </w:p>
        </w:tc>
        <w:tc>
          <w:tcPr>
            <w:tcW w:w="2262"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二、债务还本支出</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14050</w:t>
            </w: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rPr>
              <w:t>14050</w:t>
            </w: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rPr>
              <w:t>100%</w:t>
            </w:r>
          </w:p>
        </w:tc>
      </w:tr>
      <w:tr>
        <w:tblPrEx>
          <w:tblCellMar>
            <w:top w:w="0" w:type="dxa"/>
            <w:left w:w="108" w:type="dxa"/>
            <w:bottom w:w="0" w:type="dxa"/>
            <w:right w:w="108" w:type="dxa"/>
          </w:tblCellMar>
        </w:tblPrEx>
        <w:trPr>
          <w:trHeight w:val="571"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三、债券转贷收入</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49850</w:t>
            </w: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49850</w:t>
            </w: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100%</w:t>
            </w:r>
          </w:p>
        </w:tc>
        <w:tc>
          <w:tcPr>
            <w:tcW w:w="2262" w:type="dxa"/>
            <w:tcBorders>
              <w:top w:val="nil"/>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三、调出资金</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4500</w:t>
            </w: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rPr>
              <w:t>4520</w:t>
            </w: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rPr>
              <w:t>100.</w:t>
            </w:r>
            <w:r>
              <w:rPr>
                <w:rFonts w:hint="eastAsia" w:ascii="宋体" w:hAnsi="宋体"/>
                <w:color w:val="auto"/>
                <w:sz w:val="18"/>
                <w:szCs w:val="18"/>
                <w:highlight w:val="none"/>
                <w:lang w:val="en-US" w:eastAsia="zh-CN"/>
              </w:rPr>
              <w:t>4</w:t>
            </w:r>
            <w:r>
              <w:rPr>
                <w:rFonts w:hint="eastAsia" w:ascii="宋体" w:hAnsi="宋体"/>
                <w:color w:val="auto"/>
                <w:sz w:val="18"/>
                <w:szCs w:val="18"/>
                <w:highlight w:val="none"/>
              </w:rPr>
              <w:t>%</w:t>
            </w:r>
          </w:p>
        </w:tc>
      </w:tr>
      <w:tr>
        <w:tblPrEx>
          <w:tblCellMar>
            <w:top w:w="0" w:type="dxa"/>
            <w:left w:w="108" w:type="dxa"/>
            <w:bottom w:w="0" w:type="dxa"/>
            <w:right w:w="108" w:type="dxa"/>
          </w:tblCellMar>
        </w:tblPrEx>
        <w:trPr>
          <w:trHeight w:val="651"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四、专项转移支付收入</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72601</w:t>
            </w: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72934</w:t>
            </w: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100.4%</w:t>
            </w:r>
          </w:p>
        </w:tc>
        <w:tc>
          <w:tcPr>
            <w:tcW w:w="2262" w:type="dxa"/>
            <w:tcBorders>
              <w:top w:val="nil"/>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四、上解资金</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r>
      <w:tr>
        <w:tblPrEx>
          <w:tblCellMar>
            <w:top w:w="0" w:type="dxa"/>
            <w:left w:w="108" w:type="dxa"/>
            <w:bottom w:w="0" w:type="dxa"/>
            <w:right w:w="108" w:type="dxa"/>
          </w:tblCellMar>
        </w:tblPrEx>
        <w:trPr>
          <w:trHeight w:val="582" w:hRule="atLeast"/>
          <w:jc w:val="center"/>
        </w:trPr>
        <w:tc>
          <w:tcPr>
            <w:tcW w:w="2303"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五、调入资金</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c>
          <w:tcPr>
            <w:tcW w:w="2262"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r>
      <w:tr>
        <w:tblPrEx>
          <w:tblCellMar>
            <w:top w:w="0" w:type="dxa"/>
            <w:left w:w="108" w:type="dxa"/>
            <w:bottom w:w="0" w:type="dxa"/>
            <w:right w:w="108" w:type="dxa"/>
          </w:tblCellMar>
        </w:tblPrEx>
        <w:trPr>
          <w:trHeight w:val="451" w:hRule="atLeast"/>
          <w:jc w:val="center"/>
        </w:trPr>
        <w:tc>
          <w:tcPr>
            <w:tcW w:w="2303" w:type="dxa"/>
            <w:tcBorders>
              <w:top w:val="single" w:color="auto" w:sz="4" w:space="0"/>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　</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c>
          <w:tcPr>
            <w:tcW w:w="2262" w:type="dxa"/>
            <w:tcBorders>
              <w:top w:val="nil"/>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p>
        </w:tc>
      </w:tr>
      <w:tr>
        <w:tblPrEx>
          <w:tblCellMar>
            <w:top w:w="0" w:type="dxa"/>
            <w:left w:w="108" w:type="dxa"/>
            <w:bottom w:w="0" w:type="dxa"/>
            <w:right w:w="108" w:type="dxa"/>
          </w:tblCellMar>
        </w:tblPrEx>
        <w:trPr>
          <w:trHeight w:val="588" w:hRule="atLeast"/>
          <w:jc w:val="center"/>
        </w:trPr>
        <w:tc>
          <w:tcPr>
            <w:tcW w:w="2303" w:type="dxa"/>
            <w:tcBorders>
              <w:top w:val="single" w:color="auto" w:sz="4" w:space="0"/>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收入合计</w:t>
            </w:r>
          </w:p>
        </w:tc>
        <w:tc>
          <w:tcPr>
            <w:tcW w:w="849"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223533</w:t>
            </w:r>
          </w:p>
        </w:tc>
        <w:tc>
          <w:tcPr>
            <w:tcW w:w="850" w:type="dxa"/>
            <w:tcBorders>
              <w:top w:val="nil"/>
              <w:left w:val="nil"/>
              <w:bottom w:val="single" w:color="auto" w:sz="4" w:space="0"/>
              <w:right w:val="single" w:color="auto" w:sz="4" w:space="0"/>
            </w:tcBorders>
            <w:noWrap/>
            <w:vAlign w:val="center"/>
          </w:tcPr>
          <w:p>
            <w:pPr>
              <w:spacing w:line="260" w:lineRule="exact"/>
              <w:jc w:val="center"/>
              <w:rPr>
                <w:rFonts w:hint="default" w:ascii="宋体" w:hAnsi="宋体"/>
                <w:color w:val="auto"/>
                <w:sz w:val="18"/>
                <w:szCs w:val="18"/>
                <w:highlight w:val="none"/>
                <w:lang w:val="en-US" w:eastAsia="zh-CN"/>
              </w:rPr>
            </w:pPr>
            <w:r>
              <w:rPr>
                <w:rFonts w:hint="eastAsia" w:ascii="宋体" w:hAnsi="宋体"/>
                <w:color w:val="auto"/>
                <w:sz w:val="18"/>
                <w:szCs w:val="18"/>
                <w:highlight w:val="none"/>
                <w:lang w:val="en-US" w:eastAsia="zh-CN"/>
              </w:rPr>
              <w:t>223905</w:t>
            </w:r>
          </w:p>
        </w:tc>
        <w:tc>
          <w:tcPr>
            <w:tcW w:w="85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rPr>
              <w:t>100.1%</w:t>
            </w:r>
          </w:p>
        </w:tc>
        <w:tc>
          <w:tcPr>
            <w:tcW w:w="2262" w:type="dxa"/>
            <w:tcBorders>
              <w:top w:val="nil"/>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支出合计</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209377</w:t>
            </w: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200277</w:t>
            </w: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95.6%</w:t>
            </w:r>
          </w:p>
        </w:tc>
      </w:tr>
      <w:tr>
        <w:tblPrEx>
          <w:tblCellMar>
            <w:top w:w="0" w:type="dxa"/>
            <w:left w:w="108" w:type="dxa"/>
            <w:bottom w:w="0" w:type="dxa"/>
            <w:right w:w="108" w:type="dxa"/>
          </w:tblCellMar>
        </w:tblPrEx>
        <w:trPr>
          <w:trHeight w:val="518" w:hRule="atLeast"/>
          <w:jc w:val="center"/>
        </w:trPr>
        <w:tc>
          <w:tcPr>
            <w:tcW w:w="2303" w:type="dxa"/>
            <w:tcBorders>
              <w:top w:val="single" w:color="auto" w:sz="4" w:space="0"/>
              <w:left w:val="single" w:color="auto" w:sz="4" w:space="0"/>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　</w:t>
            </w:r>
          </w:p>
        </w:tc>
        <w:tc>
          <w:tcPr>
            <w:tcW w:w="849" w:type="dxa"/>
            <w:tcBorders>
              <w:top w:val="single" w:color="auto" w:sz="4" w:space="0"/>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　</w:t>
            </w:r>
          </w:p>
        </w:tc>
        <w:tc>
          <w:tcPr>
            <w:tcW w:w="850" w:type="dxa"/>
            <w:tcBorders>
              <w:top w:val="single" w:color="auto" w:sz="4" w:space="0"/>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　</w:t>
            </w:r>
          </w:p>
        </w:tc>
        <w:tc>
          <w:tcPr>
            <w:tcW w:w="851" w:type="dxa"/>
            <w:tcBorders>
              <w:top w:val="single" w:color="auto" w:sz="4" w:space="0"/>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　</w:t>
            </w:r>
          </w:p>
        </w:tc>
        <w:tc>
          <w:tcPr>
            <w:tcW w:w="2262" w:type="dxa"/>
            <w:tcBorders>
              <w:top w:val="nil"/>
              <w:left w:val="nil"/>
              <w:bottom w:val="single" w:color="auto" w:sz="4" w:space="0"/>
              <w:right w:val="single" w:color="auto" w:sz="4" w:space="0"/>
            </w:tcBorders>
            <w:noWrap/>
            <w:vAlign w:val="center"/>
          </w:tcPr>
          <w:p>
            <w:pPr>
              <w:spacing w:line="260" w:lineRule="exact"/>
              <w:rPr>
                <w:rFonts w:ascii="宋体" w:hAnsi="宋体"/>
                <w:color w:val="auto"/>
                <w:sz w:val="18"/>
                <w:szCs w:val="18"/>
                <w:highlight w:val="none"/>
              </w:rPr>
            </w:pPr>
            <w:r>
              <w:rPr>
                <w:rFonts w:hint="eastAsia" w:ascii="宋体" w:hAnsi="宋体"/>
                <w:color w:val="auto"/>
                <w:sz w:val="18"/>
                <w:szCs w:val="18"/>
                <w:highlight w:val="none"/>
              </w:rPr>
              <w:t>结转下年</w:t>
            </w:r>
          </w:p>
        </w:tc>
        <w:tc>
          <w:tcPr>
            <w:tcW w:w="793" w:type="dxa"/>
            <w:tcBorders>
              <w:top w:val="nil"/>
              <w:left w:val="single" w:color="auto" w:sz="4" w:space="0"/>
              <w:bottom w:val="single" w:color="auto" w:sz="4" w:space="0"/>
              <w:right w:val="single" w:color="auto" w:sz="4" w:space="0"/>
            </w:tcBorders>
            <w:noWrap/>
            <w:vAlign w:val="center"/>
          </w:tcPr>
          <w:p>
            <w:pPr>
              <w:spacing w:line="260" w:lineRule="exact"/>
              <w:jc w:val="center"/>
              <w:rPr>
                <w:rFonts w:ascii="宋体" w:hAnsi="宋体"/>
                <w:color w:val="auto"/>
                <w:sz w:val="18"/>
                <w:szCs w:val="18"/>
                <w:highlight w:val="none"/>
              </w:rPr>
            </w:pPr>
            <w:r>
              <w:rPr>
                <w:rFonts w:hint="eastAsia" w:ascii="宋体" w:hAnsi="宋体"/>
                <w:color w:val="auto"/>
                <w:sz w:val="18"/>
                <w:szCs w:val="18"/>
                <w:highlight w:val="none"/>
              </w:rPr>
              <w:t>14156</w:t>
            </w:r>
          </w:p>
        </w:tc>
        <w:tc>
          <w:tcPr>
            <w:tcW w:w="764"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23628</w:t>
            </w:r>
          </w:p>
        </w:tc>
        <w:tc>
          <w:tcPr>
            <w:tcW w:w="1071" w:type="dxa"/>
            <w:tcBorders>
              <w:top w:val="nil"/>
              <w:left w:val="nil"/>
              <w:bottom w:val="single" w:color="auto" w:sz="4" w:space="0"/>
              <w:right w:val="single" w:color="auto" w:sz="4" w:space="0"/>
            </w:tcBorders>
            <w:noWrap/>
            <w:vAlign w:val="center"/>
          </w:tcPr>
          <w:p>
            <w:pPr>
              <w:spacing w:line="26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166.9%</w:t>
            </w:r>
          </w:p>
        </w:tc>
      </w:tr>
    </w:tbl>
    <w:p>
      <w:pPr>
        <w:rPr>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黑体" w:hAnsi="黑体" w:eastAsia="黑体" w:cs="宋体"/>
          <w:color w:val="auto"/>
          <w:kern w:val="0"/>
          <w:sz w:val="32"/>
          <w:szCs w:val="32"/>
          <w:highlight w:val="none"/>
        </w:rPr>
      </w:pPr>
      <w:r>
        <w:rPr>
          <w:rFonts w:hint="eastAsia" w:ascii="黑体" w:hAnsi="黑体" w:eastAsia="黑体" w:cs="宋体"/>
          <w:color w:val="auto"/>
          <w:kern w:val="0"/>
          <w:sz w:val="32"/>
          <w:szCs w:val="32"/>
          <w:highlight w:val="none"/>
        </w:rPr>
        <w:t>附件</w:t>
      </w:r>
      <w:r>
        <w:rPr>
          <w:rFonts w:hint="eastAsia" w:ascii="黑体" w:hAnsi="黑体" w:eastAsia="黑体" w:cs="宋体"/>
          <w:color w:val="auto"/>
          <w:kern w:val="0"/>
          <w:sz w:val="32"/>
          <w:szCs w:val="32"/>
          <w:highlight w:val="none"/>
          <w:lang w:val="en-US" w:eastAsia="zh-CN"/>
        </w:rPr>
        <w:t>2-0</w:t>
      </w:r>
      <w:r>
        <w:rPr>
          <w:rFonts w:hint="eastAsia" w:ascii="黑体" w:hAnsi="黑体" w:eastAsia="黑体" w:cs="宋体"/>
          <w:color w:val="auto"/>
          <w:kern w:val="0"/>
          <w:sz w:val="32"/>
          <w:szCs w:val="32"/>
          <w:highlight w:val="none"/>
        </w:rPr>
        <w:t xml:space="preserve">3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eastAsia="方正小标宋简体"/>
          <w:color w:val="auto"/>
          <w:sz w:val="44"/>
          <w:szCs w:val="44"/>
          <w:highlight w:val="none"/>
        </w:rPr>
      </w:pPr>
      <w:r>
        <w:rPr>
          <w:rFonts w:hint="eastAsia" w:ascii="方正小标宋简体" w:eastAsia="方正小标宋简体"/>
          <w:color w:val="auto"/>
          <w:sz w:val="44"/>
          <w:szCs w:val="44"/>
          <w:highlight w:val="none"/>
        </w:rPr>
        <w:t>20</w:t>
      </w:r>
      <w:r>
        <w:rPr>
          <w:rFonts w:ascii="方正小标宋简体" w:eastAsia="方正小标宋简体"/>
          <w:color w:val="auto"/>
          <w:sz w:val="44"/>
          <w:szCs w:val="44"/>
          <w:highlight w:val="none"/>
        </w:rPr>
        <w:t>2</w:t>
      </w:r>
      <w:r>
        <w:rPr>
          <w:rFonts w:hint="eastAsia" w:ascii="方正小标宋简体" w:eastAsia="方正小标宋简体"/>
          <w:color w:val="auto"/>
          <w:sz w:val="44"/>
          <w:szCs w:val="44"/>
          <w:highlight w:val="none"/>
        </w:rPr>
        <w:t>1年社会保险基金预算</w:t>
      </w:r>
      <w:r>
        <w:rPr>
          <w:rFonts w:hint="eastAsia" w:ascii="方正小标宋简体" w:eastAsia="方正小标宋简体"/>
          <w:color w:val="auto"/>
          <w:sz w:val="44"/>
          <w:szCs w:val="44"/>
          <w:highlight w:val="none"/>
          <w:lang w:eastAsia="zh-CN"/>
        </w:rPr>
        <w:t>执行</w:t>
      </w:r>
      <w:r>
        <w:rPr>
          <w:rFonts w:hint="eastAsia" w:ascii="方正小标宋简体" w:eastAsia="方正小标宋简体"/>
          <w:color w:val="auto"/>
          <w:sz w:val="44"/>
          <w:szCs w:val="44"/>
          <w:highlight w:val="none"/>
        </w:rPr>
        <w:t>情况表</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ascii="宋体" w:hAnsi="宋体" w:cs="宋体"/>
          <w:color w:val="auto"/>
          <w:sz w:val="22"/>
          <w:szCs w:val="22"/>
          <w:highlight w:val="none"/>
        </w:rPr>
      </w:pPr>
      <w:r>
        <w:rPr>
          <w:rFonts w:hint="eastAsia" w:ascii="宋体" w:hAnsi="宋体"/>
          <w:color w:val="auto"/>
          <w:sz w:val="22"/>
          <w:szCs w:val="22"/>
          <w:highlight w:val="none"/>
        </w:rPr>
        <w:t>单位：万元</w:t>
      </w:r>
    </w:p>
    <w:tbl>
      <w:tblPr>
        <w:tblStyle w:val="11"/>
        <w:tblW w:w="0" w:type="auto"/>
        <w:jc w:val="center"/>
        <w:tblLayout w:type="fixed"/>
        <w:tblCellMar>
          <w:top w:w="0" w:type="dxa"/>
          <w:left w:w="108" w:type="dxa"/>
          <w:bottom w:w="0" w:type="dxa"/>
          <w:right w:w="108" w:type="dxa"/>
        </w:tblCellMar>
      </w:tblPr>
      <w:tblGrid>
        <w:gridCol w:w="2194"/>
        <w:gridCol w:w="868"/>
        <w:gridCol w:w="864"/>
        <w:gridCol w:w="1008"/>
        <w:gridCol w:w="2196"/>
        <w:gridCol w:w="828"/>
        <w:gridCol w:w="818"/>
        <w:gridCol w:w="914"/>
      </w:tblGrid>
      <w:tr>
        <w:tblPrEx>
          <w:tblCellMar>
            <w:top w:w="0" w:type="dxa"/>
            <w:left w:w="108" w:type="dxa"/>
            <w:bottom w:w="0" w:type="dxa"/>
            <w:right w:w="108" w:type="dxa"/>
          </w:tblCellMar>
        </w:tblPrEx>
        <w:trPr>
          <w:trHeight w:val="486" w:hRule="atLeast"/>
          <w:jc w:val="center"/>
        </w:trPr>
        <w:tc>
          <w:tcPr>
            <w:tcW w:w="4934"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收     入</w:t>
            </w:r>
          </w:p>
        </w:tc>
        <w:tc>
          <w:tcPr>
            <w:tcW w:w="4756" w:type="dxa"/>
            <w:gridSpan w:val="4"/>
            <w:tcBorders>
              <w:top w:val="single" w:color="auto" w:sz="4" w:space="0"/>
              <w:left w:val="nil"/>
              <w:bottom w:val="single" w:color="auto" w:sz="4" w:space="0"/>
              <w:right w:val="single" w:color="auto" w:sz="4" w:space="0"/>
            </w:tcBorders>
            <w:noWrap/>
            <w:vAlign w:val="center"/>
          </w:tcPr>
          <w:p>
            <w:pPr>
              <w:widowControl/>
              <w:spacing w:line="34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支      出</w:t>
            </w:r>
          </w:p>
        </w:tc>
      </w:tr>
      <w:tr>
        <w:tblPrEx>
          <w:tblCellMar>
            <w:top w:w="0" w:type="dxa"/>
            <w:left w:w="108" w:type="dxa"/>
            <w:bottom w:w="0" w:type="dxa"/>
            <w:right w:w="108" w:type="dxa"/>
          </w:tblCellMar>
        </w:tblPrEx>
        <w:trPr>
          <w:trHeight w:val="802" w:hRule="atLeast"/>
          <w:jc w:val="center"/>
        </w:trPr>
        <w:tc>
          <w:tcPr>
            <w:tcW w:w="2194" w:type="dxa"/>
            <w:tcBorders>
              <w:top w:val="nil"/>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项    目</w:t>
            </w:r>
          </w:p>
        </w:tc>
        <w:tc>
          <w:tcPr>
            <w:tcW w:w="868"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预算调整数</w:t>
            </w:r>
          </w:p>
        </w:tc>
        <w:tc>
          <w:tcPr>
            <w:tcW w:w="864"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预算执行数</w:t>
            </w:r>
          </w:p>
        </w:tc>
        <w:tc>
          <w:tcPr>
            <w:tcW w:w="1008"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宋体" w:hAnsi="宋体" w:eastAsia="宋体" w:cs="宋体"/>
                <w:color w:val="auto"/>
                <w:kern w:val="0"/>
                <w:sz w:val="18"/>
                <w:szCs w:val="18"/>
                <w:highlight w:val="none"/>
                <w:lang w:eastAsia="zh-CN"/>
              </w:rPr>
            </w:pPr>
            <w:r>
              <w:rPr>
                <w:rFonts w:hint="eastAsia" w:ascii="宋体" w:hAnsi="宋体" w:cs="宋体"/>
                <w:color w:val="auto"/>
                <w:kern w:val="0"/>
                <w:sz w:val="18"/>
                <w:szCs w:val="18"/>
                <w:highlight w:val="none"/>
                <w:lang w:eastAsia="zh-CN"/>
              </w:rPr>
              <w:t>预算执行</w:t>
            </w:r>
            <w:r>
              <w:rPr>
                <w:rFonts w:hint="eastAsia" w:ascii="宋体" w:hAnsi="宋体" w:cs="宋体"/>
                <w:color w:val="auto"/>
                <w:kern w:val="0"/>
                <w:sz w:val="18"/>
                <w:szCs w:val="18"/>
                <w:highlight w:val="none"/>
              </w:rPr>
              <w:t>占预算调整</w:t>
            </w:r>
            <w:r>
              <w:rPr>
                <w:rFonts w:hint="eastAsia" w:ascii="宋体" w:hAnsi="宋体" w:cs="宋体"/>
                <w:color w:val="auto"/>
                <w:kern w:val="0"/>
                <w:sz w:val="18"/>
                <w:szCs w:val="18"/>
                <w:highlight w:val="none"/>
                <w:lang w:eastAsia="zh-CN"/>
              </w:rPr>
              <w:t>比</w:t>
            </w:r>
          </w:p>
        </w:tc>
        <w:tc>
          <w:tcPr>
            <w:tcW w:w="2196" w:type="dxa"/>
            <w:tcBorders>
              <w:top w:val="nil"/>
              <w:left w:val="nil"/>
              <w:bottom w:val="single" w:color="auto" w:sz="4" w:space="0"/>
              <w:right w:val="single" w:color="auto" w:sz="4" w:space="0"/>
            </w:tcBorders>
            <w:noWrap w:val="0"/>
            <w:vAlign w:val="center"/>
          </w:tcPr>
          <w:p>
            <w:pPr>
              <w:widowControl/>
              <w:spacing w:line="26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项   目</w:t>
            </w:r>
          </w:p>
        </w:tc>
        <w:tc>
          <w:tcPr>
            <w:tcW w:w="828"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预算调整数</w:t>
            </w:r>
          </w:p>
        </w:tc>
        <w:tc>
          <w:tcPr>
            <w:tcW w:w="818" w:type="dxa"/>
            <w:tcBorders>
              <w:top w:val="nil"/>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预算执行数</w:t>
            </w:r>
          </w:p>
        </w:tc>
        <w:tc>
          <w:tcPr>
            <w:tcW w:w="914"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宋体" w:hAnsi="宋体" w:eastAsia="宋体" w:cs="宋体"/>
                <w:color w:val="auto"/>
                <w:kern w:val="0"/>
                <w:sz w:val="18"/>
                <w:szCs w:val="18"/>
                <w:highlight w:val="none"/>
                <w:lang w:eastAsia="zh-CN"/>
              </w:rPr>
            </w:pPr>
            <w:r>
              <w:rPr>
                <w:rFonts w:hint="eastAsia" w:ascii="宋体" w:hAnsi="宋体" w:cs="宋体"/>
                <w:color w:val="auto"/>
                <w:kern w:val="0"/>
                <w:sz w:val="18"/>
                <w:szCs w:val="18"/>
                <w:highlight w:val="none"/>
                <w:lang w:eastAsia="zh-CN"/>
              </w:rPr>
              <w:t>预算执行</w:t>
            </w:r>
            <w:r>
              <w:rPr>
                <w:rFonts w:hint="eastAsia" w:ascii="宋体" w:hAnsi="宋体" w:cs="宋体"/>
                <w:color w:val="auto"/>
                <w:kern w:val="0"/>
                <w:sz w:val="18"/>
                <w:szCs w:val="18"/>
                <w:highlight w:val="none"/>
              </w:rPr>
              <w:t>占预算调整</w:t>
            </w:r>
            <w:r>
              <w:rPr>
                <w:rFonts w:hint="eastAsia" w:ascii="宋体" w:hAnsi="宋体" w:cs="宋体"/>
                <w:color w:val="auto"/>
                <w:kern w:val="0"/>
                <w:sz w:val="18"/>
                <w:szCs w:val="18"/>
                <w:highlight w:val="none"/>
                <w:lang w:eastAsia="zh-CN"/>
              </w:rPr>
              <w:t>比</w:t>
            </w:r>
          </w:p>
        </w:tc>
      </w:tr>
      <w:tr>
        <w:tblPrEx>
          <w:tblCellMar>
            <w:top w:w="0" w:type="dxa"/>
            <w:left w:w="108" w:type="dxa"/>
            <w:bottom w:w="0" w:type="dxa"/>
            <w:right w:w="108" w:type="dxa"/>
          </w:tblCellMar>
        </w:tblPrEx>
        <w:trPr>
          <w:trHeight w:val="688"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一、本</w:t>
            </w:r>
            <w:r>
              <w:rPr>
                <w:rFonts w:hint="eastAsia" w:ascii="宋体" w:hAnsi="宋体"/>
                <w:color w:val="auto"/>
                <w:sz w:val="18"/>
                <w:szCs w:val="18"/>
                <w:highlight w:val="none"/>
                <w:lang w:eastAsia="zh-CN"/>
              </w:rPr>
              <w:t>年</w:t>
            </w:r>
            <w:r>
              <w:rPr>
                <w:rFonts w:hint="eastAsia" w:ascii="宋体" w:hAnsi="宋体"/>
                <w:color w:val="auto"/>
                <w:sz w:val="18"/>
                <w:szCs w:val="18"/>
                <w:highlight w:val="none"/>
              </w:rPr>
              <w:t>收入</w:t>
            </w:r>
          </w:p>
        </w:tc>
        <w:tc>
          <w:tcPr>
            <w:tcW w:w="868" w:type="dxa"/>
            <w:tcBorders>
              <w:top w:val="single" w:color="auto" w:sz="4" w:space="0"/>
              <w:left w:val="single" w:color="auto" w:sz="4" w:space="0"/>
              <w:bottom w:val="single" w:color="auto" w:sz="4" w:space="0"/>
              <w:right w:val="single" w:color="auto" w:sz="4" w:space="0"/>
            </w:tcBorders>
            <w:noWrap/>
            <w:vAlign w:val="center"/>
          </w:tcPr>
          <w:p>
            <w:pPr>
              <w:spacing w:line="340" w:lineRule="exact"/>
              <w:jc w:val="center"/>
              <w:rPr>
                <w:rFonts w:ascii="宋体" w:hAnsi="宋体"/>
                <w:color w:val="auto"/>
                <w:sz w:val="18"/>
                <w:szCs w:val="18"/>
                <w:highlight w:val="none"/>
              </w:rPr>
            </w:pPr>
            <w:r>
              <w:rPr>
                <w:rFonts w:hint="eastAsia" w:ascii="宋体" w:hAnsi="宋体"/>
                <w:color w:val="auto"/>
                <w:sz w:val="18"/>
                <w:szCs w:val="18"/>
                <w:highlight w:val="none"/>
              </w:rPr>
              <w:t>62593</w:t>
            </w:r>
          </w:p>
        </w:tc>
        <w:tc>
          <w:tcPr>
            <w:tcW w:w="864" w:type="dxa"/>
            <w:tcBorders>
              <w:top w:val="single" w:color="auto" w:sz="4" w:space="0"/>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59493</w:t>
            </w:r>
          </w:p>
        </w:tc>
        <w:tc>
          <w:tcPr>
            <w:tcW w:w="1008" w:type="dxa"/>
            <w:tcBorders>
              <w:top w:val="single" w:color="auto" w:sz="4" w:space="0"/>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95%</w:t>
            </w: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一、本年支出</w:t>
            </w:r>
          </w:p>
        </w:tc>
        <w:tc>
          <w:tcPr>
            <w:tcW w:w="828"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rPr>
              <w:t>53489</w:t>
            </w:r>
          </w:p>
        </w:tc>
        <w:tc>
          <w:tcPr>
            <w:tcW w:w="818" w:type="dxa"/>
            <w:tcBorders>
              <w:top w:val="single" w:color="auto" w:sz="4" w:space="0"/>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56371</w:t>
            </w:r>
          </w:p>
        </w:tc>
        <w:tc>
          <w:tcPr>
            <w:tcW w:w="914" w:type="dxa"/>
            <w:tcBorders>
              <w:top w:val="single" w:color="auto" w:sz="4" w:space="0"/>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105.3%</w:t>
            </w:r>
          </w:p>
        </w:tc>
      </w:tr>
      <w:tr>
        <w:trPr>
          <w:trHeight w:val="665"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企业职工养老保险基金</w:t>
            </w:r>
          </w:p>
        </w:tc>
        <w:tc>
          <w:tcPr>
            <w:tcW w:w="868" w:type="dxa"/>
            <w:tcBorders>
              <w:top w:val="nil"/>
              <w:left w:val="single" w:color="auto" w:sz="4" w:space="0"/>
              <w:bottom w:val="single" w:color="auto" w:sz="4" w:space="0"/>
              <w:right w:val="single" w:color="auto" w:sz="4" w:space="0"/>
            </w:tcBorders>
            <w:noWrap/>
            <w:vAlign w:val="center"/>
          </w:tcPr>
          <w:p>
            <w:pPr>
              <w:spacing w:line="340" w:lineRule="exact"/>
              <w:jc w:val="center"/>
              <w:rPr>
                <w:rFonts w:ascii="宋体" w:hAnsi="宋体"/>
                <w:color w:val="auto"/>
                <w:sz w:val="18"/>
                <w:szCs w:val="18"/>
                <w:highlight w:val="none"/>
              </w:rPr>
            </w:pP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企业职工养老保险基金</w:t>
            </w: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r>
      <w:tr>
        <w:trPr>
          <w:trHeight w:val="642"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城乡居民养老保险基金</w:t>
            </w:r>
          </w:p>
        </w:tc>
        <w:tc>
          <w:tcPr>
            <w:tcW w:w="868" w:type="dxa"/>
            <w:tcBorders>
              <w:top w:val="nil"/>
              <w:left w:val="single" w:color="auto" w:sz="4" w:space="0"/>
              <w:bottom w:val="single" w:color="auto" w:sz="4" w:space="0"/>
              <w:right w:val="single" w:color="auto" w:sz="4" w:space="0"/>
            </w:tcBorders>
            <w:noWrap/>
            <w:vAlign w:val="center"/>
          </w:tcPr>
          <w:p>
            <w:pPr>
              <w:spacing w:line="340" w:lineRule="exact"/>
              <w:jc w:val="center"/>
              <w:rPr>
                <w:rFonts w:ascii="宋体" w:hAnsi="宋体"/>
                <w:color w:val="auto"/>
                <w:sz w:val="18"/>
                <w:szCs w:val="18"/>
                <w:highlight w:val="none"/>
              </w:rPr>
            </w:pPr>
            <w:r>
              <w:rPr>
                <w:rFonts w:hint="eastAsia" w:ascii="宋体" w:hAnsi="宋体" w:eastAsia="宋体" w:cs="Tahoma"/>
                <w:color w:val="auto"/>
                <w:sz w:val="18"/>
                <w:szCs w:val="18"/>
                <w:highlight w:val="none"/>
              </w:rPr>
              <w:t>17255</w:t>
            </w: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14615</w:t>
            </w: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84.7%</w:t>
            </w: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城乡居民养老保险基金</w:t>
            </w: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rPr>
              <w:t>9928</w:t>
            </w: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10464</w:t>
            </w: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105.4%</w:t>
            </w:r>
          </w:p>
        </w:tc>
      </w:tr>
      <w:tr>
        <w:trPr>
          <w:trHeight w:val="648"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职工医疗保险基金</w:t>
            </w:r>
          </w:p>
        </w:tc>
        <w:tc>
          <w:tcPr>
            <w:tcW w:w="868" w:type="dxa"/>
            <w:tcBorders>
              <w:top w:val="nil"/>
              <w:left w:val="single" w:color="auto" w:sz="4" w:space="0"/>
              <w:bottom w:val="single" w:color="auto" w:sz="4" w:space="0"/>
              <w:right w:val="single" w:color="auto" w:sz="4" w:space="0"/>
            </w:tcBorders>
            <w:noWrap/>
            <w:vAlign w:val="center"/>
          </w:tcPr>
          <w:p>
            <w:pPr>
              <w:spacing w:line="340" w:lineRule="exact"/>
              <w:jc w:val="center"/>
              <w:rPr>
                <w:rFonts w:ascii="宋体" w:hAnsi="宋体"/>
                <w:color w:val="auto"/>
                <w:sz w:val="18"/>
                <w:szCs w:val="18"/>
                <w:highlight w:val="none"/>
              </w:rPr>
            </w:pPr>
            <w:r>
              <w:rPr>
                <w:rFonts w:hint="eastAsia" w:ascii="宋体" w:hAnsi="宋体"/>
                <w:color w:val="auto"/>
                <w:sz w:val="18"/>
                <w:szCs w:val="18"/>
                <w:highlight w:val="none"/>
              </w:rPr>
              <w:t>12953</w:t>
            </w: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13866</w:t>
            </w: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107.1%</w:t>
            </w: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职工医疗保险基金</w:t>
            </w: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rPr>
              <w:t>11195</w:t>
            </w: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10892</w:t>
            </w: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97.2%</w:t>
            </w:r>
          </w:p>
        </w:tc>
      </w:tr>
      <w:tr>
        <w:tblPrEx>
          <w:tblCellMar>
            <w:top w:w="0" w:type="dxa"/>
            <w:left w:w="108" w:type="dxa"/>
            <w:bottom w:w="0" w:type="dxa"/>
            <w:right w:w="108" w:type="dxa"/>
          </w:tblCellMar>
        </w:tblPrEx>
        <w:trPr>
          <w:trHeight w:val="654"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城乡居民医疗保险基金</w:t>
            </w:r>
          </w:p>
        </w:tc>
        <w:tc>
          <w:tcPr>
            <w:tcW w:w="868" w:type="dxa"/>
            <w:tcBorders>
              <w:top w:val="nil"/>
              <w:left w:val="single" w:color="auto" w:sz="4" w:space="0"/>
              <w:bottom w:val="single" w:color="auto" w:sz="4" w:space="0"/>
              <w:right w:val="single" w:color="auto" w:sz="4" w:space="0"/>
            </w:tcBorders>
            <w:noWrap/>
            <w:vAlign w:val="center"/>
          </w:tcPr>
          <w:p>
            <w:pPr>
              <w:spacing w:line="340" w:lineRule="exact"/>
              <w:jc w:val="center"/>
              <w:rPr>
                <w:rFonts w:ascii="宋体" w:hAnsi="宋体"/>
                <w:color w:val="auto"/>
                <w:sz w:val="18"/>
                <w:szCs w:val="18"/>
                <w:highlight w:val="none"/>
              </w:rPr>
            </w:pP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城乡居民医疗保险基金</w:t>
            </w: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r>
      <w:tr>
        <w:trPr>
          <w:trHeight w:val="646"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工伤保险基金</w:t>
            </w:r>
          </w:p>
        </w:tc>
        <w:tc>
          <w:tcPr>
            <w:tcW w:w="868" w:type="dxa"/>
            <w:tcBorders>
              <w:top w:val="nil"/>
              <w:left w:val="single" w:color="auto" w:sz="4" w:space="0"/>
              <w:bottom w:val="single" w:color="auto" w:sz="4" w:space="0"/>
              <w:right w:val="single" w:color="auto" w:sz="4" w:space="0"/>
            </w:tcBorders>
            <w:noWrap/>
            <w:vAlign w:val="center"/>
          </w:tcPr>
          <w:p>
            <w:pPr>
              <w:spacing w:line="340" w:lineRule="exact"/>
              <w:jc w:val="center"/>
              <w:rPr>
                <w:rFonts w:ascii="宋体" w:hAnsi="宋体"/>
                <w:color w:val="auto"/>
                <w:sz w:val="18"/>
                <w:szCs w:val="18"/>
                <w:highlight w:val="none"/>
              </w:rPr>
            </w:pPr>
            <w:r>
              <w:rPr>
                <w:rFonts w:hint="eastAsia" w:ascii="宋体" w:hAnsi="宋体"/>
                <w:color w:val="auto"/>
                <w:sz w:val="18"/>
                <w:szCs w:val="18"/>
                <w:highlight w:val="none"/>
              </w:rPr>
              <w:t>910</w:t>
            </w: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2102</w:t>
            </w: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230.9%</w:t>
            </w: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工伤保险基金</w:t>
            </w: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rPr>
              <w:t>1011</w:t>
            </w: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2472</w:t>
            </w: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244.5%</w:t>
            </w:r>
          </w:p>
        </w:tc>
      </w:tr>
      <w:tr>
        <w:tblPrEx>
          <w:tblCellMar>
            <w:top w:w="0" w:type="dxa"/>
            <w:left w:w="108" w:type="dxa"/>
            <w:bottom w:w="0" w:type="dxa"/>
            <w:right w:w="108" w:type="dxa"/>
          </w:tblCellMar>
        </w:tblPrEx>
        <w:trPr>
          <w:trHeight w:val="654"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失业保险基金</w:t>
            </w:r>
          </w:p>
        </w:tc>
        <w:tc>
          <w:tcPr>
            <w:tcW w:w="868" w:type="dxa"/>
            <w:tcBorders>
              <w:top w:val="nil"/>
              <w:left w:val="single" w:color="auto" w:sz="4" w:space="0"/>
              <w:bottom w:val="single" w:color="auto" w:sz="4" w:space="0"/>
              <w:right w:val="single" w:color="auto" w:sz="4" w:space="0"/>
            </w:tcBorders>
            <w:noWrap/>
            <w:vAlign w:val="center"/>
          </w:tcPr>
          <w:p>
            <w:pPr>
              <w:spacing w:line="340" w:lineRule="exact"/>
              <w:jc w:val="center"/>
              <w:rPr>
                <w:rFonts w:ascii="宋体" w:hAnsi="宋体"/>
                <w:color w:val="auto"/>
                <w:sz w:val="18"/>
                <w:szCs w:val="18"/>
                <w:highlight w:val="none"/>
              </w:rPr>
            </w:pPr>
            <w:r>
              <w:rPr>
                <w:rFonts w:hint="eastAsia" w:ascii="宋体" w:hAnsi="宋体"/>
                <w:color w:val="auto"/>
                <w:sz w:val="18"/>
                <w:szCs w:val="18"/>
                <w:highlight w:val="none"/>
              </w:rPr>
              <w:t>1603</w:t>
            </w: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1614</w:t>
            </w: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100.6%</w:t>
            </w: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失业保险基金</w:t>
            </w: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rPr>
              <w:t>1483</w:t>
            </w: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1641</w:t>
            </w: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110.6%</w:t>
            </w:r>
          </w:p>
        </w:tc>
      </w:tr>
      <w:tr>
        <w:tblPrEx>
          <w:tblCellMar>
            <w:top w:w="0" w:type="dxa"/>
            <w:left w:w="108" w:type="dxa"/>
            <w:bottom w:w="0" w:type="dxa"/>
            <w:right w:w="108" w:type="dxa"/>
          </w:tblCellMar>
        </w:tblPrEx>
        <w:trPr>
          <w:trHeight w:val="546"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机关事业养老保险基金</w:t>
            </w:r>
          </w:p>
        </w:tc>
        <w:tc>
          <w:tcPr>
            <w:tcW w:w="868" w:type="dxa"/>
            <w:tcBorders>
              <w:top w:val="nil"/>
              <w:left w:val="single" w:color="auto" w:sz="4" w:space="0"/>
              <w:bottom w:val="single" w:color="auto" w:sz="4" w:space="0"/>
              <w:right w:val="single" w:color="auto" w:sz="4" w:space="0"/>
            </w:tcBorders>
            <w:noWrap/>
            <w:vAlign w:val="center"/>
          </w:tcPr>
          <w:p>
            <w:pPr>
              <w:spacing w:line="340" w:lineRule="exact"/>
              <w:jc w:val="center"/>
              <w:rPr>
                <w:rFonts w:ascii="宋体" w:hAnsi="宋体"/>
                <w:color w:val="auto"/>
                <w:sz w:val="18"/>
                <w:szCs w:val="18"/>
                <w:highlight w:val="none"/>
              </w:rPr>
            </w:pPr>
            <w:r>
              <w:rPr>
                <w:rFonts w:hint="eastAsia" w:ascii="宋体" w:hAnsi="宋体"/>
                <w:color w:val="auto"/>
                <w:sz w:val="18"/>
                <w:szCs w:val="18"/>
                <w:highlight w:val="none"/>
              </w:rPr>
              <w:t>29872</w:t>
            </w: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27296</w:t>
            </w: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91.3%</w:t>
            </w: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机关事业养老保险基金</w:t>
            </w: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rPr>
              <w:t>29872</w:t>
            </w: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30902</w:t>
            </w: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103.4%</w:t>
            </w:r>
          </w:p>
        </w:tc>
      </w:tr>
      <w:tr>
        <w:trPr>
          <w:trHeight w:val="656"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p>
        </w:tc>
        <w:tc>
          <w:tcPr>
            <w:tcW w:w="868" w:type="dxa"/>
            <w:tcBorders>
              <w:top w:val="nil"/>
              <w:left w:val="single" w:color="auto" w:sz="4" w:space="0"/>
              <w:bottom w:val="single" w:color="auto" w:sz="4" w:space="0"/>
              <w:right w:val="single" w:color="auto" w:sz="4" w:space="0"/>
            </w:tcBorders>
            <w:noWrap/>
            <w:vAlign w:val="center"/>
          </w:tcPr>
          <w:p>
            <w:pPr>
              <w:spacing w:line="340" w:lineRule="exact"/>
              <w:jc w:val="center"/>
              <w:rPr>
                <w:rFonts w:ascii="宋体" w:hAnsi="宋体"/>
                <w:color w:val="auto"/>
                <w:sz w:val="18"/>
                <w:szCs w:val="18"/>
                <w:highlight w:val="none"/>
              </w:rPr>
            </w:pP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r>
      <w:tr>
        <w:tblPrEx>
          <w:tblCellMar>
            <w:top w:w="0" w:type="dxa"/>
            <w:left w:w="108" w:type="dxa"/>
            <w:bottom w:w="0" w:type="dxa"/>
            <w:right w:w="108" w:type="dxa"/>
          </w:tblCellMar>
        </w:tblPrEx>
        <w:trPr>
          <w:trHeight w:val="572"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二、历年滚存结余</w:t>
            </w:r>
          </w:p>
        </w:tc>
        <w:tc>
          <w:tcPr>
            <w:tcW w:w="868" w:type="dxa"/>
            <w:tcBorders>
              <w:top w:val="nil"/>
              <w:left w:val="single" w:color="auto" w:sz="4" w:space="0"/>
              <w:bottom w:val="single" w:color="auto" w:sz="4" w:space="0"/>
              <w:right w:val="single" w:color="auto" w:sz="4" w:space="0"/>
            </w:tcBorders>
            <w:noWrap/>
            <w:vAlign w:val="center"/>
          </w:tcPr>
          <w:p>
            <w:pPr>
              <w:spacing w:line="340" w:lineRule="exact"/>
              <w:jc w:val="center"/>
              <w:rPr>
                <w:rFonts w:ascii="宋体" w:hAnsi="宋体"/>
                <w:color w:val="auto"/>
                <w:sz w:val="18"/>
                <w:szCs w:val="18"/>
                <w:highlight w:val="none"/>
              </w:rPr>
            </w:pPr>
            <w:r>
              <w:rPr>
                <w:rFonts w:hint="eastAsia" w:ascii="宋体" w:hAnsi="宋体"/>
                <w:color w:val="auto"/>
                <w:sz w:val="18"/>
                <w:szCs w:val="18"/>
                <w:highlight w:val="none"/>
              </w:rPr>
              <w:t>43140</w:t>
            </w: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43140</w:t>
            </w: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lang w:val="en-US" w:eastAsia="zh-CN"/>
              </w:rPr>
              <w:t>100%</w:t>
            </w: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r>
      <w:tr>
        <w:trPr>
          <w:trHeight w:val="652"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p>
        </w:tc>
        <w:tc>
          <w:tcPr>
            <w:tcW w:w="868" w:type="dxa"/>
            <w:tcBorders>
              <w:top w:val="nil"/>
              <w:left w:val="single" w:color="auto" w:sz="4" w:space="0"/>
              <w:bottom w:val="single" w:color="auto" w:sz="4" w:space="0"/>
              <w:right w:val="single" w:color="auto" w:sz="4" w:space="0"/>
            </w:tcBorders>
            <w:noWrap/>
            <w:vAlign w:val="center"/>
          </w:tcPr>
          <w:p>
            <w:pPr>
              <w:rPr>
                <w:rFonts w:ascii="宋体" w:hAnsi="宋体" w:cs="Tahoma"/>
                <w:color w:val="auto"/>
                <w:sz w:val="18"/>
                <w:szCs w:val="18"/>
                <w:highlight w:val="none"/>
              </w:rPr>
            </w:pPr>
            <w:r>
              <w:rPr>
                <w:rFonts w:hint="eastAsia" w:ascii="宋体" w:hAnsi="宋体" w:cs="Tahoma"/>
                <w:color w:val="auto"/>
                <w:sz w:val="18"/>
                <w:szCs w:val="18"/>
                <w:highlight w:val="none"/>
              </w:rPr>
              <w:t>　</w:t>
            </w: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r>
      <w:tr>
        <w:tblPrEx>
          <w:tblCellMar>
            <w:top w:w="0" w:type="dxa"/>
            <w:left w:w="108" w:type="dxa"/>
            <w:bottom w:w="0" w:type="dxa"/>
            <w:right w:w="108" w:type="dxa"/>
          </w:tblCellMar>
        </w:tblPrEx>
        <w:trPr>
          <w:trHeight w:val="582"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　</w:t>
            </w:r>
          </w:p>
        </w:tc>
        <w:tc>
          <w:tcPr>
            <w:tcW w:w="868" w:type="dxa"/>
            <w:tcBorders>
              <w:top w:val="nil"/>
              <w:left w:val="single" w:color="auto" w:sz="4" w:space="0"/>
              <w:bottom w:val="single" w:color="auto" w:sz="4" w:space="0"/>
              <w:right w:val="single" w:color="auto" w:sz="4" w:space="0"/>
            </w:tcBorders>
            <w:noWrap/>
            <w:vAlign w:val="center"/>
          </w:tcPr>
          <w:p>
            <w:pPr>
              <w:rPr>
                <w:rFonts w:ascii="宋体" w:hAnsi="宋体" w:cs="Tahoma"/>
                <w:color w:val="auto"/>
                <w:sz w:val="18"/>
                <w:szCs w:val="18"/>
                <w:highlight w:val="none"/>
              </w:rPr>
            </w:pPr>
            <w:r>
              <w:rPr>
                <w:rFonts w:hint="eastAsia" w:ascii="宋体" w:hAnsi="宋体" w:cs="Tahoma"/>
                <w:color w:val="auto"/>
                <w:sz w:val="18"/>
                <w:szCs w:val="18"/>
                <w:highlight w:val="none"/>
              </w:rPr>
              <w:t>　</w:t>
            </w: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r>
      <w:tr>
        <w:tblPrEx>
          <w:tblCellMar>
            <w:top w:w="0" w:type="dxa"/>
            <w:left w:w="108" w:type="dxa"/>
            <w:bottom w:w="0" w:type="dxa"/>
            <w:right w:w="108" w:type="dxa"/>
          </w:tblCellMar>
        </w:tblPrEx>
        <w:trPr>
          <w:trHeight w:val="578"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r>
              <w:rPr>
                <w:rFonts w:hint="eastAsia" w:ascii="宋体" w:hAnsi="宋体"/>
                <w:color w:val="auto"/>
                <w:sz w:val="18"/>
                <w:szCs w:val="18"/>
                <w:highlight w:val="none"/>
              </w:rPr>
              <w:t>　</w:t>
            </w:r>
          </w:p>
        </w:tc>
        <w:tc>
          <w:tcPr>
            <w:tcW w:w="868" w:type="dxa"/>
            <w:tcBorders>
              <w:top w:val="nil"/>
              <w:left w:val="single" w:color="auto" w:sz="4" w:space="0"/>
              <w:bottom w:val="single" w:color="auto" w:sz="4" w:space="0"/>
              <w:right w:val="single" w:color="auto" w:sz="4" w:space="0"/>
            </w:tcBorders>
            <w:noWrap/>
            <w:vAlign w:val="center"/>
          </w:tcPr>
          <w:p>
            <w:pPr>
              <w:rPr>
                <w:rFonts w:ascii="宋体" w:hAnsi="宋体" w:cs="Tahoma"/>
                <w:color w:val="auto"/>
                <w:sz w:val="18"/>
                <w:szCs w:val="18"/>
                <w:highlight w:val="none"/>
              </w:rPr>
            </w:pPr>
            <w:r>
              <w:rPr>
                <w:rFonts w:hint="eastAsia" w:ascii="宋体" w:hAnsi="宋体" w:cs="Tahoma"/>
                <w:color w:val="auto"/>
                <w:sz w:val="18"/>
                <w:szCs w:val="18"/>
                <w:highlight w:val="none"/>
              </w:rPr>
              <w:t>　</w:t>
            </w: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p>
        </w:tc>
        <w:tc>
          <w:tcPr>
            <w:tcW w:w="2196" w:type="dxa"/>
            <w:tcBorders>
              <w:top w:val="nil"/>
              <w:left w:val="nil"/>
              <w:bottom w:val="single" w:color="auto" w:sz="4" w:space="0"/>
              <w:right w:val="single" w:color="auto" w:sz="4" w:space="0"/>
            </w:tcBorders>
            <w:noWrap/>
            <w:vAlign w:val="center"/>
          </w:tcPr>
          <w:p>
            <w:pPr>
              <w:spacing w:line="340" w:lineRule="exact"/>
              <w:rPr>
                <w:rFonts w:ascii="宋体" w:hAnsi="宋体"/>
                <w:color w:val="auto"/>
                <w:sz w:val="18"/>
                <w:szCs w:val="18"/>
                <w:highlight w:val="none"/>
              </w:rPr>
            </w:pP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p>
        </w:tc>
      </w:tr>
      <w:tr>
        <w:tblPrEx>
          <w:tblCellMar>
            <w:top w:w="0" w:type="dxa"/>
            <w:left w:w="108" w:type="dxa"/>
            <w:bottom w:w="0" w:type="dxa"/>
            <w:right w:w="108" w:type="dxa"/>
          </w:tblCellMar>
        </w:tblPrEx>
        <w:trPr>
          <w:trHeight w:val="589" w:hRule="atLeast"/>
          <w:jc w:val="center"/>
        </w:trPr>
        <w:tc>
          <w:tcPr>
            <w:tcW w:w="2194" w:type="dxa"/>
            <w:tcBorders>
              <w:top w:val="nil"/>
              <w:left w:val="single" w:color="auto" w:sz="4" w:space="0"/>
              <w:bottom w:val="single" w:color="auto" w:sz="4" w:space="0"/>
              <w:right w:val="single" w:color="auto" w:sz="4" w:space="0"/>
            </w:tcBorders>
            <w:noWrap/>
            <w:vAlign w:val="center"/>
          </w:tcPr>
          <w:p>
            <w:pPr>
              <w:spacing w:line="340" w:lineRule="exact"/>
              <w:jc w:val="both"/>
              <w:rPr>
                <w:rFonts w:ascii="宋体" w:hAnsi="宋体"/>
                <w:color w:val="auto"/>
                <w:sz w:val="18"/>
                <w:szCs w:val="18"/>
                <w:highlight w:val="none"/>
              </w:rPr>
            </w:pPr>
            <w:r>
              <w:rPr>
                <w:rFonts w:hint="eastAsia" w:ascii="宋体" w:hAnsi="宋体"/>
                <w:color w:val="auto"/>
                <w:sz w:val="18"/>
                <w:szCs w:val="18"/>
                <w:highlight w:val="none"/>
              </w:rPr>
              <w:t>收入合计</w:t>
            </w:r>
          </w:p>
        </w:tc>
        <w:tc>
          <w:tcPr>
            <w:tcW w:w="868" w:type="dxa"/>
            <w:tcBorders>
              <w:top w:val="nil"/>
              <w:left w:val="single" w:color="auto" w:sz="4" w:space="0"/>
              <w:bottom w:val="single" w:color="auto" w:sz="4" w:space="0"/>
              <w:right w:val="single" w:color="auto" w:sz="4" w:space="0"/>
            </w:tcBorders>
            <w:noWrap/>
            <w:vAlign w:val="center"/>
          </w:tcPr>
          <w:p>
            <w:pPr>
              <w:spacing w:line="340" w:lineRule="exact"/>
              <w:jc w:val="center"/>
              <w:rPr>
                <w:rFonts w:hint="eastAsia" w:ascii="宋体" w:hAnsi="宋体"/>
                <w:color w:val="auto"/>
                <w:sz w:val="18"/>
                <w:szCs w:val="18"/>
                <w:highlight w:val="none"/>
              </w:rPr>
            </w:pPr>
            <w:r>
              <w:rPr>
                <w:rFonts w:hint="eastAsia" w:ascii="宋体" w:hAnsi="宋体"/>
                <w:color w:val="auto"/>
                <w:sz w:val="18"/>
                <w:szCs w:val="18"/>
                <w:highlight w:val="none"/>
              </w:rPr>
              <w:t>105733</w:t>
            </w:r>
          </w:p>
        </w:tc>
        <w:tc>
          <w:tcPr>
            <w:tcW w:w="864" w:type="dxa"/>
            <w:tcBorders>
              <w:top w:val="nil"/>
              <w:left w:val="nil"/>
              <w:bottom w:val="single" w:color="auto" w:sz="4" w:space="0"/>
              <w:right w:val="single" w:color="auto" w:sz="4" w:space="0"/>
            </w:tcBorders>
            <w:noWrap/>
            <w:vAlign w:val="center"/>
          </w:tcPr>
          <w:p>
            <w:pPr>
              <w:spacing w:line="340" w:lineRule="exact"/>
              <w:jc w:val="center"/>
              <w:rPr>
                <w:rFonts w:hint="default" w:ascii="宋体" w:hAnsi="宋体"/>
                <w:color w:val="auto"/>
                <w:sz w:val="18"/>
                <w:szCs w:val="18"/>
                <w:highlight w:val="none"/>
                <w:lang w:val="en-US" w:eastAsia="zh-CN"/>
              </w:rPr>
            </w:pPr>
            <w:r>
              <w:rPr>
                <w:rFonts w:hint="eastAsia" w:ascii="宋体" w:hAnsi="宋体"/>
                <w:color w:val="auto"/>
                <w:sz w:val="18"/>
                <w:szCs w:val="18"/>
                <w:highlight w:val="none"/>
                <w:lang w:val="en-US" w:eastAsia="zh-CN"/>
              </w:rPr>
              <w:t>102633</w:t>
            </w:r>
          </w:p>
        </w:tc>
        <w:tc>
          <w:tcPr>
            <w:tcW w:w="1008" w:type="dxa"/>
            <w:tcBorders>
              <w:top w:val="nil"/>
              <w:left w:val="nil"/>
              <w:bottom w:val="single" w:color="auto" w:sz="4" w:space="0"/>
              <w:right w:val="single" w:color="auto" w:sz="4" w:space="0"/>
            </w:tcBorders>
            <w:noWrap/>
            <w:vAlign w:val="center"/>
          </w:tcPr>
          <w:p>
            <w:pPr>
              <w:spacing w:line="340" w:lineRule="exact"/>
              <w:jc w:val="center"/>
              <w:rPr>
                <w:rFonts w:hint="default" w:ascii="宋体" w:hAnsi="宋体"/>
                <w:color w:val="auto"/>
                <w:sz w:val="18"/>
                <w:szCs w:val="18"/>
                <w:highlight w:val="none"/>
                <w:lang w:val="en-US" w:eastAsia="zh-CN"/>
              </w:rPr>
            </w:pPr>
            <w:r>
              <w:rPr>
                <w:rFonts w:hint="eastAsia" w:ascii="宋体" w:hAnsi="宋体"/>
                <w:color w:val="auto"/>
                <w:sz w:val="18"/>
                <w:szCs w:val="18"/>
                <w:highlight w:val="none"/>
                <w:lang w:val="en-US" w:eastAsia="zh-CN"/>
              </w:rPr>
              <w:t>97.1%</w:t>
            </w:r>
          </w:p>
        </w:tc>
        <w:tc>
          <w:tcPr>
            <w:tcW w:w="2196" w:type="dxa"/>
            <w:tcBorders>
              <w:top w:val="nil"/>
              <w:left w:val="nil"/>
              <w:bottom w:val="single" w:color="auto" w:sz="4" w:space="0"/>
              <w:right w:val="single" w:color="auto" w:sz="4" w:space="0"/>
            </w:tcBorders>
            <w:noWrap/>
            <w:vAlign w:val="center"/>
          </w:tcPr>
          <w:p>
            <w:pPr>
              <w:spacing w:line="340" w:lineRule="exact"/>
              <w:jc w:val="both"/>
              <w:rPr>
                <w:rFonts w:ascii="宋体" w:hAnsi="宋体"/>
                <w:color w:val="auto"/>
                <w:sz w:val="18"/>
                <w:szCs w:val="18"/>
                <w:highlight w:val="none"/>
              </w:rPr>
            </w:pPr>
            <w:r>
              <w:rPr>
                <w:rFonts w:hint="eastAsia" w:ascii="宋体" w:hAnsi="宋体"/>
                <w:color w:val="auto"/>
                <w:sz w:val="18"/>
                <w:szCs w:val="18"/>
                <w:highlight w:val="none"/>
              </w:rPr>
              <w:t>支出合计</w:t>
            </w: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rPr>
              <w:t>53489</w:t>
            </w: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56371</w:t>
            </w: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105.3%</w:t>
            </w:r>
          </w:p>
        </w:tc>
      </w:tr>
      <w:tr>
        <w:tblPrEx>
          <w:tblCellMar>
            <w:top w:w="0" w:type="dxa"/>
            <w:left w:w="108" w:type="dxa"/>
            <w:bottom w:w="0" w:type="dxa"/>
            <w:right w:w="108" w:type="dxa"/>
          </w:tblCellMar>
        </w:tblPrEx>
        <w:trPr>
          <w:trHeight w:val="519" w:hRule="atLeast"/>
          <w:jc w:val="center"/>
        </w:trPr>
        <w:tc>
          <w:tcPr>
            <w:tcW w:w="2194" w:type="dxa"/>
            <w:tcBorders>
              <w:top w:val="nil"/>
              <w:left w:val="single" w:color="auto" w:sz="4" w:space="0"/>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　</w:t>
            </w:r>
          </w:p>
        </w:tc>
        <w:tc>
          <w:tcPr>
            <w:tcW w:w="868" w:type="dxa"/>
            <w:tcBorders>
              <w:top w:val="nil"/>
              <w:left w:val="nil"/>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　</w:t>
            </w:r>
          </w:p>
        </w:tc>
        <w:tc>
          <w:tcPr>
            <w:tcW w:w="864" w:type="dxa"/>
            <w:tcBorders>
              <w:top w:val="nil"/>
              <w:left w:val="nil"/>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　</w:t>
            </w:r>
          </w:p>
        </w:tc>
        <w:tc>
          <w:tcPr>
            <w:tcW w:w="1008" w:type="dxa"/>
            <w:tcBorders>
              <w:top w:val="nil"/>
              <w:left w:val="nil"/>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　</w:t>
            </w:r>
          </w:p>
        </w:tc>
        <w:tc>
          <w:tcPr>
            <w:tcW w:w="2196" w:type="dxa"/>
            <w:tcBorders>
              <w:top w:val="nil"/>
              <w:left w:val="nil"/>
              <w:bottom w:val="single" w:color="auto" w:sz="4" w:space="0"/>
              <w:right w:val="single" w:color="auto" w:sz="4" w:space="0"/>
            </w:tcBorders>
            <w:noWrap/>
            <w:vAlign w:val="center"/>
          </w:tcPr>
          <w:p>
            <w:pPr>
              <w:jc w:val="both"/>
              <w:rPr>
                <w:rFonts w:ascii="宋体" w:hAnsi="宋体"/>
                <w:color w:val="auto"/>
                <w:sz w:val="18"/>
                <w:szCs w:val="18"/>
                <w:highlight w:val="none"/>
              </w:rPr>
            </w:pPr>
            <w:r>
              <w:rPr>
                <w:rFonts w:hint="eastAsia" w:ascii="宋体" w:hAnsi="宋体"/>
                <w:color w:val="auto"/>
                <w:sz w:val="18"/>
                <w:szCs w:val="18"/>
                <w:highlight w:val="none"/>
              </w:rPr>
              <w:t>结转下年</w:t>
            </w:r>
          </w:p>
        </w:tc>
        <w:tc>
          <w:tcPr>
            <w:tcW w:w="828"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rPr>
              <w:t>52244</w:t>
            </w:r>
          </w:p>
        </w:tc>
        <w:tc>
          <w:tcPr>
            <w:tcW w:w="818"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46262</w:t>
            </w:r>
          </w:p>
        </w:tc>
        <w:tc>
          <w:tcPr>
            <w:tcW w:w="914" w:type="dxa"/>
            <w:tcBorders>
              <w:top w:val="nil"/>
              <w:left w:val="nil"/>
              <w:bottom w:val="single" w:color="auto" w:sz="4" w:space="0"/>
              <w:right w:val="single" w:color="auto" w:sz="4" w:space="0"/>
            </w:tcBorders>
            <w:noWrap/>
            <w:vAlign w:val="center"/>
          </w:tcPr>
          <w:p>
            <w:pPr>
              <w:jc w:val="center"/>
              <w:rPr>
                <w:rFonts w:hint="eastAsia" w:ascii="宋体" w:hAnsi="宋体" w:cs="Tahoma"/>
                <w:color w:val="auto"/>
                <w:sz w:val="18"/>
                <w:szCs w:val="18"/>
                <w:highlight w:val="none"/>
              </w:rPr>
            </w:pPr>
            <w:r>
              <w:rPr>
                <w:rFonts w:hint="eastAsia" w:ascii="宋体" w:hAnsi="宋体" w:cs="Tahoma"/>
                <w:color w:val="auto"/>
                <w:sz w:val="18"/>
                <w:szCs w:val="18"/>
                <w:highlight w:val="none"/>
                <w:lang w:val="en-US" w:eastAsia="zh-CN"/>
              </w:rPr>
              <w:t>88.5%</w:t>
            </w:r>
          </w:p>
        </w:tc>
      </w:tr>
    </w:tbl>
    <w:p>
      <w:pPr>
        <w:keepNext w:val="0"/>
        <w:keepLines w:val="0"/>
        <w:pageBreakBefore w:val="0"/>
        <w:widowControl w:val="0"/>
        <w:tabs>
          <w:tab w:val="left" w:pos="8505"/>
        </w:tabs>
        <w:kinsoku/>
        <w:wordWrap/>
        <w:overflowPunct/>
        <w:topLinePunct w:val="0"/>
        <w:autoSpaceDE/>
        <w:autoSpaceDN/>
        <w:bidi w:val="0"/>
        <w:adjustRightInd/>
        <w:spacing w:line="560" w:lineRule="exact"/>
        <w:textAlignment w:val="auto"/>
        <w:rPr>
          <w:rFonts w:ascii="黑体" w:hAnsi="黑体" w:eastAsia="黑体" w:cs="宋体"/>
          <w:color w:val="auto"/>
          <w:kern w:val="0"/>
          <w:sz w:val="32"/>
          <w:szCs w:val="32"/>
          <w:highlight w:val="none"/>
        </w:rPr>
      </w:pPr>
      <w:r>
        <w:rPr>
          <w:rFonts w:hint="eastAsia" w:ascii="黑体" w:hAnsi="黑体" w:eastAsia="黑体" w:cs="宋体"/>
          <w:color w:val="auto"/>
          <w:kern w:val="0"/>
          <w:sz w:val="32"/>
          <w:szCs w:val="32"/>
          <w:highlight w:val="none"/>
        </w:rPr>
        <w:t>附件</w:t>
      </w:r>
      <w:r>
        <w:rPr>
          <w:rFonts w:hint="eastAsia" w:ascii="黑体" w:hAnsi="黑体" w:eastAsia="黑体" w:cs="宋体"/>
          <w:color w:val="auto"/>
          <w:kern w:val="0"/>
          <w:sz w:val="32"/>
          <w:szCs w:val="32"/>
          <w:highlight w:val="none"/>
          <w:lang w:val="en-US" w:eastAsia="zh-CN"/>
        </w:rPr>
        <w:t>2-0</w:t>
      </w:r>
      <w:r>
        <w:rPr>
          <w:rFonts w:hint="eastAsia" w:ascii="黑体" w:hAnsi="黑体" w:eastAsia="黑体" w:cs="宋体"/>
          <w:color w:val="auto"/>
          <w:kern w:val="0"/>
          <w:sz w:val="32"/>
          <w:szCs w:val="32"/>
          <w:highlight w:val="none"/>
        </w:rPr>
        <w:t xml:space="preserve">4 </w:t>
      </w: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方正小标宋简体" w:eastAsia="方正小标宋简体"/>
          <w:color w:val="auto"/>
          <w:sz w:val="44"/>
          <w:szCs w:val="44"/>
          <w:highlight w:val="none"/>
        </w:rPr>
      </w:pPr>
      <w:r>
        <w:rPr>
          <w:rFonts w:ascii="方正小标宋简体" w:eastAsia="方正小标宋简体"/>
          <w:color w:val="auto"/>
          <w:sz w:val="44"/>
          <w:szCs w:val="44"/>
          <w:highlight w:val="none"/>
        </w:rPr>
        <w:t>202</w:t>
      </w:r>
      <w:r>
        <w:rPr>
          <w:rFonts w:hint="eastAsia" w:ascii="方正小标宋简体" w:eastAsia="方正小标宋简体"/>
          <w:color w:val="auto"/>
          <w:sz w:val="44"/>
          <w:szCs w:val="44"/>
          <w:highlight w:val="none"/>
        </w:rPr>
        <w:t>1年国有资本经营预算</w:t>
      </w:r>
      <w:r>
        <w:rPr>
          <w:rFonts w:hint="eastAsia" w:ascii="方正小标宋简体" w:eastAsia="方正小标宋简体"/>
          <w:color w:val="auto"/>
          <w:sz w:val="44"/>
          <w:szCs w:val="44"/>
          <w:highlight w:val="none"/>
          <w:lang w:eastAsia="zh-CN"/>
        </w:rPr>
        <w:t>执行</w:t>
      </w:r>
      <w:r>
        <w:rPr>
          <w:rFonts w:hint="eastAsia" w:ascii="方正小标宋简体" w:eastAsia="方正小标宋简体"/>
          <w:color w:val="auto"/>
          <w:sz w:val="44"/>
          <w:szCs w:val="44"/>
          <w:highlight w:val="none"/>
        </w:rPr>
        <w:t>情况表</w:t>
      </w:r>
    </w:p>
    <w:p>
      <w:pPr>
        <w:keepNext w:val="0"/>
        <w:keepLines w:val="0"/>
        <w:pageBreakBefore w:val="0"/>
        <w:widowControl w:val="0"/>
        <w:kinsoku/>
        <w:wordWrap/>
        <w:overflowPunct/>
        <w:topLinePunct w:val="0"/>
        <w:autoSpaceDE/>
        <w:autoSpaceDN/>
        <w:bidi w:val="0"/>
        <w:adjustRightInd/>
        <w:spacing w:line="560" w:lineRule="exact"/>
        <w:jc w:val="right"/>
        <w:textAlignment w:val="auto"/>
        <w:rPr>
          <w:rFonts w:ascii="宋体" w:hAnsi="宋体" w:cs="宋体"/>
          <w:color w:val="auto"/>
          <w:szCs w:val="21"/>
          <w:highlight w:val="none"/>
        </w:rPr>
      </w:pPr>
      <w:r>
        <w:rPr>
          <w:rFonts w:hint="eastAsia" w:ascii="宋体" w:hAnsi="宋体"/>
          <w:color w:val="auto"/>
          <w:szCs w:val="21"/>
          <w:highlight w:val="none"/>
        </w:rPr>
        <w:t>单位：万元</w:t>
      </w:r>
    </w:p>
    <w:tbl>
      <w:tblPr>
        <w:tblStyle w:val="11"/>
        <w:tblW w:w="9528" w:type="dxa"/>
        <w:jc w:val="center"/>
        <w:tblLayout w:type="fixed"/>
        <w:tblCellMar>
          <w:top w:w="0" w:type="dxa"/>
          <w:left w:w="108" w:type="dxa"/>
          <w:bottom w:w="0" w:type="dxa"/>
          <w:right w:w="108" w:type="dxa"/>
        </w:tblCellMar>
      </w:tblPr>
      <w:tblGrid>
        <w:gridCol w:w="2072"/>
        <w:gridCol w:w="820"/>
        <w:gridCol w:w="816"/>
        <w:gridCol w:w="955"/>
        <w:gridCol w:w="2312"/>
        <w:gridCol w:w="819"/>
        <w:gridCol w:w="772"/>
        <w:gridCol w:w="962"/>
      </w:tblGrid>
      <w:tr>
        <w:tblPrEx>
          <w:tblCellMar>
            <w:top w:w="0" w:type="dxa"/>
            <w:left w:w="108" w:type="dxa"/>
            <w:bottom w:w="0" w:type="dxa"/>
            <w:right w:w="108" w:type="dxa"/>
          </w:tblCellMar>
        </w:tblPrEx>
        <w:trPr>
          <w:trHeight w:val="634" w:hRule="atLeast"/>
          <w:jc w:val="center"/>
        </w:trPr>
        <w:tc>
          <w:tcPr>
            <w:tcW w:w="4663"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宋体" w:hAnsi="宋体" w:cs="宋体"/>
                <w:bCs/>
                <w:color w:val="auto"/>
                <w:kern w:val="0"/>
                <w:sz w:val="18"/>
                <w:szCs w:val="18"/>
                <w:highlight w:val="none"/>
              </w:rPr>
            </w:pPr>
            <w:bookmarkStart w:id="0" w:name="OLE_LINK1"/>
            <w:r>
              <w:rPr>
                <w:rFonts w:hint="eastAsia" w:ascii="宋体" w:hAnsi="宋体" w:cs="宋体"/>
                <w:bCs/>
                <w:color w:val="auto"/>
                <w:kern w:val="0"/>
                <w:sz w:val="18"/>
                <w:szCs w:val="18"/>
                <w:highlight w:val="none"/>
              </w:rPr>
              <w:t>收     入</w:t>
            </w:r>
          </w:p>
        </w:tc>
        <w:tc>
          <w:tcPr>
            <w:tcW w:w="4865" w:type="dxa"/>
            <w:gridSpan w:val="4"/>
            <w:tcBorders>
              <w:top w:val="single" w:color="auto" w:sz="4" w:space="0"/>
              <w:left w:val="nil"/>
              <w:bottom w:val="single" w:color="auto" w:sz="4" w:space="0"/>
              <w:right w:val="single" w:color="auto" w:sz="4" w:space="0"/>
            </w:tcBorders>
            <w:noWrap/>
            <w:vAlign w:val="center"/>
          </w:tcPr>
          <w:p>
            <w:pPr>
              <w:widowControl/>
              <w:spacing w:line="34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支      出</w:t>
            </w:r>
          </w:p>
        </w:tc>
      </w:tr>
      <w:tr>
        <w:tblPrEx>
          <w:tblCellMar>
            <w:top w:w="0" w:type="dxa"/>
            <w:left w:w="108" w:type="dxa"/>
            <w:bottom w:w="0" w:type="dxa"/>
            <w:right w:w="108" w:type="dxa"/>
          </w:tblCellMar>
        </w:tblPrEx>
        <w:trPr>
          <w:trHeight w:val="980" w:hRule="atLeast"/>
          <w:jc w:val="center"/>
        </w:trPr>
        <w:tc>
          <w:tcPr>
            <w:tcW w:w="2072"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宋体" w:hAnsi="宋体"/>
                <w:color w:val="auto"/>
                <w:kern w:val="0"/>
                <w:sz w:val="18"/>
                <w:szCs w:val="18"/>
                <w:highlight w:val="none"/>
              </w:rPr>
            </w:pPr>
            <w:r>
              <w:rPr>
                <w:rFonts w:hint="eastAsia" w:ascii="宋体" w:hAnsi="宋体" w:cs="宋体"/>
                <w:color w:val="auto"/>
                <w:kern w:val="0"/>
                <w:sz w:val="18"/>
                <w:szCs w:val="18"/>
                <w:highlight w:val="none"/>
              </w:rPr>
              <w:t>项    目</w:t>
            </w:r>
          </w:p>
        </w:tc>
        <w:tc>
          <w:tcPr>
            <w:tcW w:w="82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预算调整数</w:t>
            </w:r>
          </w:p>
        </w:tc>
        <w:tc>
          <w:tcPr>
            <w:tcW w:w="816"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eastAsia="zh-CN"/>
              </w:rPr>
              <w:t>预算执行数</w:t>
            </w:r>
          </w:p>
        </w:tc>
        <w:tc>
          <w:tcPr>
            <w:tcW w:w="955"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宋体" w:hAnsi="宋体" w:eastAsia="宋体" w:cs="宋体"/>
                <w:color w:val="auto"/>
                <w:kern w:val="0"/>
                <w:sz w:val="18"/>
                <w:szCs w:val="18"/>
                <w:highlight w:val="none"/>
                <w:lang w:eastAsia="zh-CN"/>
              </w:rPr>
            </w:pPr>
            <w:r>
              <w:rPr>
                <w:rFonts w:hint="eastAsia" w:ascii="宋体" w:hAnsi="宋体" w:cs="宋体"/>
                <w:color w:val="auto"/>
                <w:kern w:val="0"/>
                <w:sz w:val="18"/>
                <w:szCs w:val="18"/>
                <w:highlight w:val="none"/>
                <w:lang w:eastAsia="zh-CN"/>
              </w:rPr>
              <w:t>预算执行</w:t>
            </w:r>
            <w:r>
              <w:rPr>
                <w:rFonts w:hint="eastAsia" w:ascii="宋体" w:hAnsi="宋体" w:cs="宋体"/>
                <w:color w:val="auto"/>
                <w:kern w:val="0"/>
                <w:sz w:val="18"/>
                <w:szCs w:val="18"/>
                <w:highlight w:val="none"/>
              </w:rPr>
              <w:t>占预算调整</w:t>
            </w:r>
            <w:r>
              <w:rPr>
                <w:rFonts w:hint="eastAsia" w:ascii="宋体" w:hAnsi="宋体" w:cs="宋体"/>
                <w:color w:val="auto"/>
                <w:kern w:val="0"/>
                <w:sz w:val="18"/>
                <w:szCs w:val="18"/>
                <w:highlight w:val="none"/>
                <w:lang w:eastAsia="zh-CN"/>
              </w:rPr>
              <w:t>比</w:t>
            </w:r>
          </w:p>
        </w:tc>
        <w:tc>
          <w:tcPr>
            <w:tcW w:w="2312" w:type="dxa"/>
            <w:tcBorders>
              <w:top w:val="single" w:color="auto" w:sz="4" w:space="0"/>
              <w:left w:val="nil"/>
              <w:bottom w:val="single" w:color="auto" w:sz="4" w:space="0"/>
              <w:right w:val="single" w:color="auto" w:sz="4" w:space="0"/>
            </w:tcBorders>
            <w:noWrap w:val="0"/>
            <w:vAlign w:val="center"/>
          </w:tcPr>
          <w:p>
            <w:pPr>
              <w:widowControl/>
              <w:spacing w:line="260" w:lineRule="exact"/>
              <w:jc w:val="center"/>
              <w:rPr>
                <w:rFonts w:ascii="宋体" w:hAnsi="宋体"/>
                <w:color w:val="auto"/>
                <w:sz w:val="18"/>
                <w:szCs w:val="18"/>
                <w:highlight w:val="none"/>
              </w:rPr>
            </w:pPr>
            <w:r>
              <w:rPr>
                <w:rFonts w:hint="eastAsia" w:ascii="宋体" w:hAnsi="宋体" w:cs="宋体"/>
                <w:color w:val="auto"/>
                <w:kern w:val="0"/>
                <w:sz w:val="18"/>
                <w:szCs w:val="18"/>
                <w:highlight w:val="none"/>
              </w:rPr>
              <w:t>项   目</w:t>
            </w:r>
          </w:p>
        </w:tc>
        <w:tc>
          <w:tcPr>
            <w:tcW w:w="819"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宋体" w:hAnsi="宋体"/>
                <w:color w:val="auto"/>
                <w:sz w:val="18"/>
                <w:szCs w:val="18"/>
                <w:highlight w:val="none"/>
              </w:rPr>
            </w:pPr>
            <w:r>
              <w:rPr>
                <w:rFonts w:hint="eastAsia" w:ascii="宋体" w:hAnsi="宋体" w:cs="宋体"/>
                <w:color w:val="auto"/>
                <w:kern w:val="0"/>
                <w:sz w:val="18"/>
                <w:szCs w:val="18"/>
                <w:highlight w:val="none"/>
                <w:lang w:eastAsia="zh-CN"/>
              </w:rPr>
              <w:t>预算调整数</w:t>
            </w:r>
          </w:p>
        </w:tc>
        <w:tc>
          <w:tcPr>
            <w:tcW w:w="772"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宋体" w:hAnsi="宋体"/>
                <w:color w:val="auto"/>
                <w:sz w:val="18"/>
                <w:szCs w:val="18"/>
                <w:highlight w:val="none"/>
              </w:rPr>
            </w:pPr>
            <w:r>
              <w:rPr>
                <w:rFonts w:hint="eastAsia" w:ascii="宋体" w:hAnsi="宋体" w:cs="宋体"/>
                <w:color w:val="auto"/>
                <w:kern w:val="0"/>
                <w:sz w:val="18"/>
                <w:szCs w:val="18"/>
                <w:highlight w:val="none"/>
                <w:lang w:eastAsia="zh-CN"/>
              </w:rPr>
              <w:t>预算执行数</w:t>
            </w:r>
          </w:p>
        </w:tc>
        <w:tc>
          <w:tcPr>
            <w:tcW w:w="962"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宋体" w:hAnsi="宋体" w:eastAsia="宋体"/>
                <w:color w:val="auto"/>
                <w:sz w:val="18"/>
                <w:szCs w:val="18"/>
                <w:highlight w:val="none"/>
                <w:lang w:eastAsia="zh-CN"/>
              </w:rPr>
            </w:pPr>
            <w:r>
              <w:rPr>
                <w:rFonts w:hint="eastAsia" w:ascii="宋体" w:hAnsi="宋体" w:cs="宋体"/>
                <w:color w:val="auto"/>
                <w:kern w:val="0"/>
                <w:sz w:val="18"/>
                <w:szCs w:val="18"/>
                <w:highlight w:val="none"/>
                <w:lang w:eastAsia="zh-CN"/>
              </w:rPr>
              <w:t>预算执行</w:t>
            </w:r>
            <w:r>
              <w:rPr>
                <w:rFonts w:hint="eastAsia" w:ascii="宋体" w:hAnsi="宋体" w:cs="宋体"/>
                <w:color w:val="auto"/>
                <w:kern w:val="0"/>
                <w:sz w:val="18"/>
                <w:szCs w:val="18"/>
                <w:highlight w:val="none"/>
              </w:rPr>
              <w:t>占预算调整</w:t>
            </w:r>
            <w:r>
              <w:rPr>
                <w:rFonts w:hint="eastAsia" w:ascii="宋体" w:hAnsi="宋体" w:cs="宋体"/>
                <w:color w:val="auto"/>
                <w:kern w:val="0"/>
                <w:sz w:val="18"/>
                <w:szCs w:val="18"/>
                <w:highlight w:val="none"/>
                <w:lang w:eastAsia="zh-CN"/>
              </w:rPr>
              <w:t>比</w:t>
            </w:r>
          </w:p>
        </w:tc>
      </w:tr>
      <w:tr>
        <w:tblPrEx>
          <w:tblCellMar>
            <w:top w:w="0" w:type="dxa"/>
            <w:left w:w="108" w:type="dxa"/>
            <w:bottom w:w="0" w:type="dxa"/>
            <w:right w:w="108" w:type="dxa"/>
          </w:tblCellMar>
        </w:tblPrEx>
        <w:trPr>
          <w:trHeight w:val="661" w:hRule="atLeast"/>
          <w:jc w:val="center"/>
        </w:trPr>
        <w:tc>
          <w:tcPr>
            <w:tcW w:w="2072"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olor w:val="auto"/>
                <w:sz w:val="18"/>
                <w:szCs w:val="18"/>
                <w:highlight w:val="none"/>
                <w:lang w:eastAsia="zh-CN"/>
              </w:rPr>
            </w:pPr>
            <w:r>
              <w:rPr>
                <w:rFonts w:hint="eastAsia" w:ascii="宋体" w:hAnsi="宋体"/>
                <w:color w:val="auto"/>
                <w:sz w:val="18"/>
                <w:szCs w:val="18"/>
                <w:highlight w:val="none"/>
                <w:lang w:eastAsia="zh-CN"/>
              </w:rPr>
              <w:t>一、本年收入</w:t>
            </w:r>
          </w:p>
        </w:tc>
        <w:tc>
          <w:tcPr>
            <w:tcW w:w="820"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681</w:t>
            </w:r>
          </w:p>
        </w:tc>
        <w:tc>
          <w:tcPr>
            <w:tcW w:w="816"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264</w:t>
            </w:r>
          </w:p>
        </w:tc>
        <w:tc>
          <w:tcPr>
            <w:tcW w:w="955"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38.7%</w:t>
            </w:r>
          </w:p>
        </w:tc>
        <w:tc>
          <w:tcPr>
            <w:tcW w:w="2312"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olor w:val="auto"/>
                <w:sz w:val="18"/>
                <w:szCs w:val="18"/>
                <w:highlight w:val="none"/>
                <w:lang w:eastAsia="zh-CN"/>
              </w:rPr>
            </w:pPr>
            <w:r>
              <w:rPr>
                <w:rFonts w:hint="eastAsia" w:ascii="宋体" w:hAnsi="宋体"/>
                <w:color w:val="auto"/>
                <w:sz w:val="18"/>
                <w:szCs w:val="18"/>
                <w:highlight w:val="none"/>
                <w:lang w:eastAsia="zh-CN"/>
              </w:rPr>
              <w:t>一、本年支出</w:t>
            </w:r>
          </w:p>
        </w:tc>
        <w:tc>
          <w:tcPr>
            <w:tcW w:w="819"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232</w:t>
            </w:r>
          </w:p>
        </w:tc>
        <w:tc>
          <w:tcPr>
            <w:tcW w:w="772"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228</w:t>
            </w:r>
          </w:p>
        </w:tc>
        <w:tc>
          <w:tcPr>
            <w:tcW w:w="962" w:type="dxa"/>
            <w:tcBorders>
              <w:top w:val="single" w:color="auto" w:sz="4" w:space="0"/>
              <w:left w:val="nil"/>
              <w:bottom w:val="single" w:color="auto" w:sz="4" w:space="0"/>
              <w:right w:val="single" w:color="auto" w:sz="4" w:space="0"/>
            </w:tcBorders>
            <w:noWrap w:val="0"/>
            <w:vAlign w:val="center"/>
          </w:tcPr>
          <w:p>
            <w:pPr>
              <w:widowControl/>
              <w:spacing w:line="300" w:lineRule="exact"/>
              <w:jc w:val="center"/>
              <w:rPr>
                <w:rFonts w:hint="eastAsia" w:ascii="宋体" w:hAnsi="宋体" w:cs="宋体"/>
                <w:color w:val="auto"/>
                <w:kern w:val="0"/>
                <w:sz w:val="18"/>
                <w:szCs w:val="18"/>
                <w:highlight w:val="none"/>
              </w:rPr>
            </w:pPr>
            <w:r>
              <w:rPr>
                <w:rFonts w:hint="eastAsia" w:ascii="宋体" w:hAnsi="宋体" w:cs="宋体"/>
                <w:color w:val="auto"/>
                <w:kern w:val="0"/>
                <w:sz w:val="18"/>
                <w:szCs w:val="18"/>
                <w:highlight w:val="none"/>
              </w:rPr>
              <w:t>98.2%</w:t>
            </w:r>
          </w:p>
        </w:tc>
      </w:tr>
      <w:tr>
        <w:trPr>
          <w:trHeight w:val="746" w:hRule="atLeast"/>
          <w:jc w:val="center"/>
        </w:trPr>
        <w:tc>
          <w:tcPr>
            <w:tcW w:w="2072" w:type="dxa"/>
            <w:tcBorders>
              <w:top w:val="nil"/>
              <w:left w:val="single" w:color="auto" w:sz="4" w:space="0"/>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利润收入</w:t>
            </w:r>
          </w:p>
        </w:tc>
        <w:tc>
          <w:tcPr>
            <w:tcW w:w="820"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r>
              <w:rPr>
                <w:rFonts w:hint="eastAsia" w:ascii="宋体" w:hAnsi="宋体"/>
                <w:color w:val="auto"/>
                <w:sz w:val="18"/>
                <w:szCs w:val="18"/>
                <w:highlight w:val="none"/>
              </w:rPr>
              <w:t>450</w:t>
            </w:r>
          </w:p>
        </w:tc>
        <w:tc>
          <w:tcPr>
            <w:tcW w:w="816" w:type="dxa"/>
            <w:tcBorders>
              <w:top w:val="nil"/>
              <w:left w:val="nil"/>
              <w:bottom w:val="single" w:color="auto" w:sz="4" w:space="0"/>
              <w:right w:val="single" w:color="auto" w:sz="4" w:space="0"/>
            </w:tcBorders>
            <w:noWrap/>
            <w:vAlign w:val="center"/>
          </w:tcPr>
          <w:p>
            <w:pPr>
              <w:widowControl/>
              <w:spacing w:line="30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228</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50.6%</w:t>
            </w:r>
          </w:p>
        </w:tc>
        <w:tc>
          <w:tcPr>
            <w:tcW w:w="2312" w:type="dxa"/>
            <w:tcBorders>
              <w:top w:val="nil"/>
              <w:left w:val="nil"/>
              <w:bottom w:val="single" w:color="auto" w:sz="4" w:space="0"/>
              <w:right w:val="single" w:color="auto" w:sz="4" w:space="0"/>
            </w:tcBorders>
            <w:noWrap/>
            <w:vAlign w:val="center"/>
          </w:tcPr>
          <w:p>
            <w:pPr>
              <w:rPr>
                <w:rFonts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rPr>
              <w:t>解决</w:t>
            </w:r>
            <w:r>
              <w:rPr>
                <w:rFonts w:ascii="宋体" w:hAnsi="宋体"/>
                <w:color w:val="auto"/>
                <w:sz w:val="18"/>
                <w:szCs w:val="18"/>
                <w:highlight w:val="none"/>
              </w:rPr>
              <w:t>历史遗留问题及改革成本支出</w:t>
            </w:r>
          </w:p>
        </w:tc>
        <w:tc>
          <w:tcPr>
            <w:tcW w:w="819"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rPr>
              <w:t>4</w:t>
            </w:r>
          </w:p>
        </w:tc>
        <w:tc>
          <w:tcPr>
            <w:tcW w:w="772"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p>
        </w:tc>
        <w:tc>
          <w:tcPr>
            <w:tcW w:w="962"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p>
        </w:tc>
      </w:tr>
      <w:tr>
        <w:tblPrEx>
          <w:tblCellMar>
            <w:top w:w="0" w:type="dxa"/>
            <w:left w:w="108" w:type="dxa"/>
            <w:bottom w:w="0" w:type="dxa"/>
            <w:right w:w="108" w:type="dxa"/>
          </w:tblCellMar>
        </w:tblPrEx>
        <w:trPr>
          <w:trHeight w:val="867" w:hRule="atLeast"/>
          <w:jc w:val="center"/>
        </w:trPr>
        <w:tc>
          <w:tcPr>
            <w:tcW w:w="2072" w:type="dxa"/>
            <w:tcBorders>
              <w:top w:val="nil"/>
              <w:left w:val="single" w:color="auto" w:sz="4" w:space="0"/>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股利、股息收入</w:t>
            </w:r>
          </w:p>
        </w:tc>
        <w:tc>
          <w:tcPr>
            <w:tcW w:w="820"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r>
              <w:rPr>
                <w:rFonts w:hint="eastAsia" w:ascii="宋体" w:hAnsi="宋体"/>
                <w:color w:val="auto"/>
                <w:sz w:val="18"/>
                <w:szCs w:val="18"/>
                <w:highlight w:val="none"/>
              </w:rPr>
              <w:t>231</w:t>
            </w:r>
          </w:p>
        </w:tc>
        <w:tc>
          <w:tcPr>
            <w:tcW w:w="816" w:type="dxa"/>
            <w:tcBorders>
              <w:top w:val="nil"/>
              <w:left w:val="nil"/>
              <w:bottom w:val="single" w:color="auto" w:sz="4" w:space="0"/>
              <w:right w:val="single" w:color="auto" w:sz="4" w:space="0"/>
            </w:tcBorders>
            <w:noWrap/>
            <w:vAlign w:val="center"/>
          </w:tcPr>
          <w:p>
            <w:pPr>
              <w:widowControl/>
              <w:spacing w:line="30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36</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15.5%</w:t>
            </w:r>
          </w:p>
        </w:tc>
        <w:tc>
          <w:tcPr>
            <w:tcW w:w="2312" w:type="dxa"/>
            <w:tcBorders>
              <w:top w:val="nil"/>
              <w:left w:val="nil"/>
              <w:bottom w:val="single" w:color="auto" w:sz="4" w:space="0"/>
              <w:right w:val="single" w:color="auto" w:sz="4" w:space="0"/>
            </w:tcBorders>
            <w:noWrap/>
            <w:vAlign w:val="center"/>
          </w:tcPr>
          <w:p>
            <w:pPr>
              <w:rPr>
                <w:rFonts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rPr>
              <w:t>国有</w:t>
            </w:r>
            <w:r>
              <w:rPr>
                <w:rFonts w:ascii="宋体" w:hAnsi="宋体"/>
                <w:color w:val="auto"/>
                <w:sz w:val="18"/>
                <w:szCs w:val="18"/>
                <w:highlight w:val="none"/>
              </w:rPr>
              <w:t>企业退休人员社会化管理补助支出</w:t>
            </w:r>
          </w:p>
        </w:tc>
        <w:tc>
          <w:tcPr>
            <w:tcW w:w="819"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p>
        </w:tc>
        <w:tc>
          <w:tcPr>
            <w:tcW w:w="772"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p>
        </w:tc>
        <w:tc>
          <w:tcPr>
            <w:tcW w:w="962"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p>
        </w:tc>
      </w:tr>
      <w:tr>
        <w:trPr>
          <w:trHeight w:val="836" w:hRule="atLeast"/>
          <w:jc w:val="center"/>
        </w:trPr>
        <w:tc>
          <w:tcPr>
            <w:tcW w:w="2072" w:type="dxa"/>
            <w:tcBorders>
              <w:top w:val="nil"/>
              <w:left w:val="single" w:color="auto" w:sz="4" w:space="0"/>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产权转让收入</w:t>
            </w:r>
          </w:p>
        </w:tc>
        <w:tc>
          <w:tcPr>
            <w:tcW w:w="820"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p>
        </w:tc>
        <w:tc>
          <w:tcPr>
            <w:tcW w:w="816"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p>
        </w:tc>
        <w:tc>
          <w:tcPr>
            <w:tcW w:w="2312" w:type="dxa"/>
            <w:tcBorders>
              <w:top w:val="nil"/>
              <w:left w:val="nil"/>
              <w:bottom w:val="single" w:color="auto" w:sz="4" w:space="0"/>
              <w:right w:val="single" w:color="auto" w:sz="4" w:space="0"/>
            </w:tcBorders>
            <w:noWrap/>
            <w:vAlign w:val="center"/>
          </w:tcPr>
          <w:p>
            <w:pPr>
              <w:rPr>
                <w:rFonts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rPr>
              <w:t>国有</w:t>
            </w:r>
            <w:r>
              <w:rPr>
                <w:rFonts w:ascii="宋体" w:hAnsi="宋体"/>
                <w:color w:val="auto"/>
                <w:sz w:val="18"/>
                <w:szCs w:val="18"/>
                <w:highlight w:val="none"/>
              </w:rPr>
              <w:t>企业资本金注入</w:t>
            </w:r>
          </w:p>
        </w:tc>
        <w:tc>
          <w:tcPr>
            <w:tcW w:w="819"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rPr>
              <w:t>228</w:t>
            </w:r>
          </w:p>
        </w:tc>
        <w:tc>
          <w:tcPr>
            <w:tcW w:w="772"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rPr>
              <w:t>228</w:t>
            </w:r>
          </w:p>
        </w:tc>
        <w:tc>
          <w:tcPr>
            <w:tcW w:w="962"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rPr>
              <w:t>100%</w:t>
            </w:r>
          </w:p>
        </w:tc>
      </w:tr>
      <w:tr>
        <w:tblPrEx>
          <w:tblCellMar>
            <w:top w:w="0" w:type="dxa"/>
            <w:left w:w="108" w:type="dxa"/>
            <w:bottom w:w="0" w:type="dxa"/>
            <w:right w:w="108" w:type="dxa"/>
          </w:tblCellMar>
        </w:tblPrEx>
        <w:trPr>
          <w:trHeight w:val="724" w:hRule="atLeast"/>
          <w:jc w:val="center"/>
        </w:trPr>
        <w:tc>
          <w:tcPr>
            <w:tcW w:w="2072" w:type="dxa"/>
            <w:tcBorders>
              <w:top w:val="nil"/>
              <w:left w:val="single" w:color="auto" w:sz="4" w:space="0"/>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国有股权、股份转让收入</w:t>
            </w:r>
          </w:p>
        </w:tc>
        <w:tc>
          <w:tcPr>
            <w:tcW w:w="820"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p>
        </w:tc>
        <w:tc>
          <w:tcPr>
            <w:tcW w:w="816"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p>
        </w:tc>
        <w:tc>
          <w:tcPr>
            <w:tcW w:w="2312" w:type="dxa"/>
            <w:tcBorders>
              <w:top w:val="nil"/>
              <w:left w:val="nil"/>
              <w:bottom w:val="single" w:color="auto" w:sz="4" w:space="0"/>
              <w:right w:val="single" w:color="auto" w:sz="4" w:space="0"/>
            </w:tcBorders>
            <w:noWrap/>
            <w:vAlign w:val="center"/>
          </w:tcPr>
          <w:p>
            <w:pPr>
              <w:rPr>
                <w:rFonts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rPr>
              <w:t>其他</w:t>
            </w:r>
            <w:r>
              <w:rPr>
                <w:rFonts w:ascii="宋体" w:hAnsi="宋体"/>
                <w:color w:val="auto"/>
                <w:sz w:val="18"/>
                <w:szCs w:val="18"/>
                <w:highlight w:val="none"/>
              </w:rPr>
              <w:t>国有企业资本金注入</w:t>
            </w:r>
          </w:p>
        </w:tc>
        <w:tc>
          <w:tcPr>
            <w:tcW w:w="819"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p>
        </w:tc>
        <w:tc>
          <w:tcPr>
            <w:tcW w:w="772"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p>
        </w:tc>
        <w:tc>
          <w:tcPr>
            <w:tcW w:w="962"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p>
        </w:tc>
      </w:tr>
      <w:tr>
        <w:trPr>
          <w:trHeight w:val="762" w:hRule="atLeast"/>
          <w:jc w:val="center"/>
        </w:trPr>
        <w:tc>
          <w:tcPr>
            <w:tcW w:w="2072" w:type="dxa"/>
            <w:tcBorders>
              <w:top w:val="nil"/>
              <w:left w:val="single" w:color="auto" w:sz="4" w:space="0"/>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清算收入</w:t>
            </w:r>
          </w:p>
        </w:tc>
        <w:tc>
          <w:tcPr>
            <w:tcW w:w="820"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p>
        </w:tc>
        <w:tc>
          <w:tcPr>
            <w:tcW w:w="816"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p>
        </w:tc>
        <w:tc>
          <w:tcPr>
            <w:tcW w:w="2312" w:type="dxa"/>
            <w:tcBorders>
              <w:top w:val="nil"/>
              <w:left w:val="nil"/>
              <w:bottom w:val="single" w:color="auto" w:sz="4" w:space="0"/>
              <w:right w:val="single" w:color="auto" w:sz="4" w:space="0"/>
            </w:tcBorders>
            <w:noWrap/>
            <w:vAlign w:val="center"/>
          </w:tcPr>
          <w:p>
            <w:pPr>
              <w:rPr>
                <w:rFonts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rPr>
              <w:t>其他</w:t>
            </w:r>
            <w:r>
              <w:rPr>
                <w:rFonts w:ascii="宋体" w:hAnsi="宋体"/>
                <w:color w:val="auto"/>
                <w:sz w:val="18"/>
                <w:szCs w:val="18"/>
                <w:highlight w:val="none"/>
              </w:rPr>
              <w:t>国有资本经营预算支出</w:t>
            </w:r>
          </w:p>
        </w:tc>
        <w:tc>
          <w:tcPr>
            <w:tcW w:w="819"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p>
        </w:tc>
        <w:tc>
          <w:tcPr>
            <w:tcW w:w="772"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p>
        </w:tc>
        <w:tc>
          <w:tcPr>
            <w:tcW w:w="962" w:type="dxa"/>
            <w:tcBorders>
              <w:top w:val="nil"/>
              <w:left w:val="nil"/>
              <w:bottom w:val="single" w:color="auto" w:sz="4" w:space="0"/>
              <w:right w:val="single" w:color="auto" w:sz="4" w:space="0"/>
            </w:tcBorders>
            <w:noWrap/>
            <w:vAlign w:val="center"/>
          </w:tcPr>
          <w:p>
            <w:pPr>
              <w:jc w:val="center"/>
              <w:rPr>
                <w:rFonts w:ascii="宋体" w:hAnsi="宋体" w:eastAsia="宋体" w:cs="Times New Roman"/>
                <w:color w:val="auto"/>
                <w:kern w:val="2"/>
                <w:sz w:val="18"/>
                <w:szCs w:val="18"/>
                <w:highlight w:val="none"/>
                <w:lang w:val="en-US" w:eastAsia="zh-CN" w:bidi="ar-SA"/>
              </w:rPr>
            </w:pPr>
          </w:p>
        </w:tc>
      </w:tr>
      <w:tr>
        <w:tblPrEx>
          <w:tblCellMar>
            <w:top w:w="0" w:type="dxa"/>
            <w:left w:w="108" w:type="dxa"/>
            <w:bottom w:w="0" w:type="dxa"/>
            <w:right w:w="108" w:type="dxa"/>
          </w:tblCellMar>
        </w:tblPrEx>
        <w:trPr>
          <w:trHeight w:val="842" w:hRule="atLeast"/>
          <w:jc w:val="center"/>
        </w:trPr>
        <w:tc>
          <w:tcPr>
            <w:tcW w:w="2072" w:type="dxa"/>
            <w:tcBorders>
              <w:top w:val="nil"/>
              <w:left w:val="single" w:color="auto" w:sz="4" w:space="0"/>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其他国有资本经营预算收入</w:t>
            </w:r>
          </w:p>
        </w:tc>
        <w:tc>
          <w:tcPr>
            <w:tcW w:w="820"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p>
        </w:tc>
        <w:tc>
          <w:tcPr>
            <w:tcW w:w="816"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p>
        </w:tc>
        <w:tc>
          <w:tcPr>
            <w:tcW w:w="2312" w:type="dxa"/>
            <w:tcBorders>
              <w:top w:val="nil"/>
              <w:left w:val="nil"/>
              <w:bottom w:val="single" w:color="auto" w:sz="4" w:space="0"/>
              <w:right w:val="single" w:color="auto" w:sz="4" w:space="0"/>
            </w:tcBorders>
            <w:noWrap/>
            <w:vAlign w:val="center"/>
          </w:tcPr>
          <w:p>
            <w:pPr>
              <w:rPr>
                <w:rFonts w:ascii="宋体" w:hAnsi="宋体"/>
                <w:color w:val="auto"/>
                <w:sz w:val="18"/>
                <w:szCs w:val="18"/>
                <w:highlight w:val="none"/>
              </w:rPr>
            </w:pPr>
          </w:p>
        </w:tc>
        <w:tc>
          <w:tcPr>
            <w:tcW w:w="819" w:type="dxa"/>
            <w:tcBorders>
              <w:top w:val="nil"/>
              <w:left w:val="nil"/>
              <w:bottom w:val="single" w:color="auto" w:sz="4" w:space="0"/>
              <w:right w:val="single" w:color="auto" w:sz="4" w:space="0"/>
            </w:tcBorders>
            <w:noWrap/>
            <w:vAlign w:val="center"/>
          </w:tcPr>
          <w:p>
            <w:pPr>
              <w:jc w:val="center"/>
              <w:rPr>
                <w:rFonts w:ascii="宋体" w:hAnsi="宋体"/>
                <w:color w:val="auto"/>
                <w:sz w:val="18"/>
                <w:szCs w:val="18"/>
                <w:highlight w:val="none"/>
              </w:rPr>
            </w:pPr>
          </w:p>
        </w:tc>
        <w:tc>
          <w:tcPr>
            <w:tcW w:w="772" w:type="dxa"/>
            <w:tcBorders>
              <w:top w:val="nil"/>
              <w:left w:val="nil"/>
              <w:bottom w:val="single" w:color="auto" w:sz="4" w:space="0"/>
              <w:right w:val="single" w:color="auto" w:sz="4" w:space="0"/>
            </w:tcBorders>
            <w:noWrap/>
            <w:vAlign w:val="center"/>
          </w:tcPr>
          <w:p>
            <w:pPr>
              <w:jc w:val="center"/>
              <w:rPr>
                <w:rFonts w:ascii="宋体" w:hAnsi="宋体"/>
                <w:color w:val="auto"/>
                <w:sz w:val="18"/>
                <w:szCs w:val="18"/>
                <w:highlight w:val="none"/>
              </w:rPr>
            </w:pPr>
          </w:p>
        </w:tc>
        <w:tc>
          <w:tcPr>
            <w:tcW w:w="962" w:type="dxa"/>
            <w:tcBorders>
              <w:top w:val="nil"/>
              <w:left w:val="nil"/>
              <w:bottom w:val="single" w:color="auto" w:sz="4" w:space="0"/>
              <w:right w:val="single" w:color="auto" w:sz="4" w:space="0"/>
            </w:tcBorders>
            <w:noWrap/>
            <w:vAlign w:val="center"/>
          </w:tcPr>
          <w:p>
            <w:pPr>
              <w:jc w:val="center"/>
              <w:rPr>
                <w:rFonts w:ascii="宋体" w:hAnsi="宋体"/>
                <w:color w:val="auto"/>
                <w:sz w:val="18"/>
                <w:szCs w:val="18"/>
                <w:highlight w:val="none"/>
              </w:rPr>
            </w:pPr>
          </w:p>
        </w:tc>
      </w:tr>
      <w:tr>
        <w:tblPrEx>
          <w:tblCellMar>
            <w:top w:w="0" w:type="dxa"/>
            <w:left w:w="108" w:type="dxa"/>
            <w:bottom w:w="0" w:type="dxa"/>
            <w:right w:w="108" w:type="dxa"/>
          </w:tblCellMar>
        </w:tblPrEx>
        <w:trPr>
          <w:trHeight w:val="627" w:hRule="atLeast"/>
          <w:jc w:val="center"/>
        </w:trPr>
        <w:tc>
          <w:tcPr>
            <w:tcW w:w="2072" w:type="dxa"/>
            <w:tcBorders>
              <w:top w:val="nil"/>
              <w:left w:val="single" w:color="auto" w:sz="4" w:space="0"/>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　</w:t>
            </w:r>
          </w:p>
        </w:tc>
        <w:tc>
          <w:tcPr>
            <w:tcW w:w="820"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p>
        </w:tc>
        <w:tc>
          <w:tcPr>
            <w:tcW w:w="816"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p>
        </w:tc>
        <w:tc>
          <w:tcPr>
            <w:tcW w:w="2312" w:type="dxa"/>
            <w:tcBorders>
              <w:top w:val="nil"/>
              <w:left w:val="nil"/>
              <w:bottom w:val="single" w:color="auto" w:sz="4" w:space="0"/>
              <w:right w:val="single" w:color="auto" w:sz="4" w:space="0"/>
            </w:tcBorders>
            <w:noWrap/>
            <w:vAlign w:val="center"/>
          </w:tcPr>
          <w:p>
            <w:pPr>
              <w:ind w:firstLine="360" w:firstLineChars="200"/>
              <w:rPr>
                <w:rFonts w:ascii="宋体" w:hAnsi="宋体"/>
                <w:color w:val="auto"/>
                <w:sz w:val="18"/>
                <w:szCs w:val="18"/>
                <w:highlight w:val="none"/>
              </w:rPr>
            </w:pPr>
          </w:p>
        </w:tc>
        <w:tc>
          <w:tcPr>
            <w:tcW w:w="819" w:type="dxa"/>
            <w:tcBorders>
              <w:top w:val="nil"/>
              <w:left w:val="nil"/>
              <w:bottom w:val="single" w:color="auto" w:sz="4" w:space="0"/>
              <w:right w:val="single" w:color="auto" w:sz="4" w:space="0"/>
            </w:tcBorders>
            <w:noWrap/>
            <w:vAlign w:val="center"/>
          </w:tcPr>
          <w:p>
            <w:pPr>
              <w:jc w:val="center"/>
              <w:rPr>
                <w:rFonts w:ascii="宋体" w:hAnsi="宋体"/>
                <w:color w:val="auto"/>
                <w:sz w:val="18"/>
                <w:szCs w:val="18"/>
                <w:highlight w:val="none"/>
              </w:rPr>
            </w:pPr>
          </w:p>
        </w:tc>
        <w:tc>
          <w:tcPr>
            <w:tcW w:w="772" w:type="dxa"/>
            <w:tcBorders>
              <w:top w:val="nil"/>
              <w:left w:val="nil"/>
              <w:bottom w:val="single" w:color="auto" w:sz="4" w:space="0"/>
              <w:right w:val="single" w:color="auto" w:sz="4" w:space="0"/>
            </w:tcBorders>
            <w:noWrap/>
            <w:vAlign w:val="center"/>
          </w:tcPr>
          <w:p>
            <w:pPr>
              <w:jc w:val="center"/>
              <w:rPr>
                <w:rFonts w:ascii="宋体" w:hAnsi="宋体"/>
                <w:color w:val="auto"/>
                <w:sz w:val="18"/>
                <w:szCs w:val="18"/>
                <w:highlight w:val="none"/>
              </w:rPr>
            </w:pPr>
          </w:p>
        </w:tc>
        <w:tc>
          <w:tcPr>
            <w:tcW w:w="962" w:type="dxa"/>
            <w:tcBorders>
              <w:top w:val="nil"/>
              <w:left w:val="nil"/>
              <w:bottom w:val="single" w:color="auto" w:sz="4" w:space="0"/>
              <w:right w:val="single" w:color="auto" w:sz="4" w:space="0"/>
            </w:tcBorders>
            <w:noWrap/>
            <w:vAlign w:val="center"/>
          </w:tcPr>
          <w:p>
            <w:pPr>
              <w:jc w:val="center"/>
              <w:rPr>
                <w:rFonts w:ascii="宋体" w:hAnsi="宋体"/>
                <w:color w:val="auto"/>
                <w:sz w:val="18"/>
                <w:szCs w:val="18"/>
                <w:highlight w:val="none"/>
              </w:rPr>
            </w:pPr>
          </w:p>
        </w:tc>
      </w:tr>
      <w:tr>
        <w:trPr>
          <w:trHeight w:val="823" w:hRule="atLeast"/>
          <w:jc w:val="center"/>
        </w:trPr>
        <w:tc>
          <w:tcPr>
            <w:tcW w:w="2072" w:type="dxa"/>
            <w:tcBorders>
              <w:top w:val="nil"/>
              <w:left w:val="single" w:color="auto" w:sz="4" w:space="0"/>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二</w:t>
            </w:r>
            <w:r>
              <w:rPr>
                <w:rFonts w:ascii="宋体" w:hAnsi="宋体"/>
                <w:color w:val="auto"/>
                <w:sz w:val="18"/>
                <w:szCs w:val="18"/>
                <w:highlight w:val="none"/>
              </w:rPr>
              <w:t>、</w:t>
            </w:r>
            <w:r>
              <w:rPr>
                <w:rFonts w:hint="eastAsia" w:ascii="宋体" w:hAnsi="宋体"/>
                <w:color w:val="auto"/>
                <w:sz w:val="18"/>
                <w:szCs w:val="18"/>
                <w:highlight w:val="none"/>
              </w:rPr>
              <w:t>转移</w:t>
            </w:r>
            <w:r>
              <w:rPr>
                <w:rFonts w:ascii="宋体" w:hAnsi="宋体"/>
                <w:color w:val="auto"/>
                <w:sz w:val="18"/>
                <w:szCs w:val="18"/>
                <w:highlight w:val="none"/>
              </w:rPr>
              <w:t>性收入</w:t>
            </w:r>
          </w:p>
        </w:tc>
        <w:tc>
          <w:tcPr>
            <w:tcW w:w="820"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p>
        </w:tc>
        <w:tc>
          <w:tcPr>
            <w:tcW w:w="816" w:type="dxa"/>
            <w:tcBorders>
              <w:top w:val="nil"/>
              <w:left w:val="nil"/>
              <w:bottom w:val="single" w:color="auto" w:sz="4" w:space="0"/>
              <w:right w:val="single" w:color="auto" w:sz="4" w:space="0"/>
            </w:tcBorders>
            <w:noWrap/>
            <w:vAlign w:val="center"/>
          </w:tcPr>
          <w:p>
            <w:pPr>
              <w:widowControl/>
              <w:spacing w:line="30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18</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p>
        </w:tc>
        <w:tc>
          <w:tcPr>
            <w:tcW w:w="2312" w:type="dxa"/>
            <w:tcBorders>
              <w:top w:val="nil"/>
              <w:left w:val="nil"/>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二</w:t>
            </w:r>
            <w:r>
              <w:rPr>
                <w:rFonts w:ascii="宋体" w:hAnsi="宋体"/>
                <w:color w:val="auto"/>
                <w:sz w:val="18"/>
                <w:szCs w:val="18"/>
                <w:highlight w:val="none"/>
              </w:rPr>
              <w:t>、</w:t>
            </w:r>
            <w:r>
              <w:rPr>
                <w:rFonts w:hint="eastAsia" w:ascii="宋体" w:hAnsi="宋体"/>
                <w:color w:val="auto"/>
                <w:sz w:val="18"/>
                <w:szCs w:val="18"/>
                <w:highlight w:val="none"/>
              </w:rPr>
              <w:t>转移性</w:t>
            </w:r>
            <w:r>
              <w:rPr>
                <w:rFonts w:ascii="宋体" w:hAnsi="宋体"/>
                <w:color w:val="auto"/>
                <w:sz w:val="18"/>
                <w:szCs w:val="18"/>
                <w:highlight w:val="none"/>
              </w:rPr>
              <w:t>支出</w:t>
            </w:r>
          </w:p>
        </w:tc>
        <w:tc>
          <w:tcPr>
            <w:tcW w:w="819"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231</w:t>
            </w:r>
          </w:p>
        </w:tc>
        <w:tc>
          <w:tcPr>
            <w:tcW w:w="772"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36</w:t>
            </w:r>
          </w:p>
        </w:tc>
        <w:tc>
          <w:tcPr>
            <w:tcW w:w="962" w:type="dxa"/>
            <w:tcBorders>
              <w:top w:val="nil"/>
              <w:left w:val="nil"/>
              <w:bottom w:val="single" w:color="auto" w:sz="4" w:space="0"/>
              <w:right w:val="single" w:color="auto" w:sz="4" w:space="0"/>
            </w:tcBorders>
            <w:noWrap/>
            <w:vAlign w:val="center"/>
          </w:tcPr>
          <w:p>
            <w:pPr>
              <w:jc w:val="center"/>
              <w:rPr>
                <w:rFonts w:ascii="宋体" w:hAnsi="宋体"/>
                <w:color w:val="auto"/>
                <w:sz w:val="18"/>
                <w:szCs w:val="18"/>
                <w:highlight w:val="none"/>
              </w:rPr>
            </w:pPr>
            <w:r>
              <w:rPr>
                <w:rFonts w:hint="eastAsia" w:ascii="宋体" w:hAnsi="宋体"/>
                <w:color w:val="auto"/>
                <w:sz w:val="18"/>
                <w:szCs w:val="18"/>
                <w:highlight w:val="none"/>
                <w:lang w:val="en-US" w:eastAsia="zh-CN"/>
              </w:rPr>
              <w:t>15.5%</w:t>
            </w:r>
          </w:p>
        </w:tc>
      </w:tr>
      <w:tr>
        <w:tblPrEx>
          <w:tblCellMar>
            <w:top w:w="0" w:type="dxa"/>
            <w:left w:w="108" w:type="dxa"/>
            <w:bottom w:w="0" w:type="dxa"/>
            <w:right w:w="108" w:type="dxa"/>
          </w:tblCellMar>
        </w:tblPrEx>
        <w:trPr>
          <w:trHeight w:val="712" w:hRule="atLeast"/>
          <w:jc w:val="center"/>
        </w:trPr>
        <w:tc>
          <w:tcPr>
            <w:tcW w:w="2072" w:type="dxa"/>
            <w:tcBorders>
              <w:top w:val="nil"/>
              <w:left w:val="single" w:color="auto" w:sz="4" w:space="0"/>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三</w:t>
            </w:r>
            <w:r>
              <w:rPr>
                <w:rFonts w:ascii="宋体" w:hAnsi="宋体"/>
                <w:color w:val="auto"/>
                <w:sz w:val="18"/>
                <w:szCs w:val="18"/>
                <w:highlight w:val="none"/>
              </w:rPr>
              <w:t>、</w:t>
            </w:r>
            <w:r>
              <w:rPr>
                <w:rFonts w:hint="eastAsia" w:ascii="宋体" w:hAnsi="宋体"/>
                <w:color w:val="auto"/>
                <w:sz w:val="18"/>
                <w:szCs w:val="18"/>
                <w:highlight w:val="none"/>
              </w:rPr>
              <w:t>上年</w:t>
            </w:r>
            <w:r>
              <w:rPr>
                <w:rFonts w:ascii="宋体" w:hAnsi="宋体"/>
                <w:color w:val="auto"/>
                <w:sz w:val="18"/>
                <w:szCs w:val="18"/>
                <w:highlight w:val="none"/>
              </w:rPr>
              <w:t>结转</w:t>
            </w:r>
            <w:r>
              <w:rPr>
                <w:rFonts w:hint="eastAsia" w:ascii="宋体" w:hAnsi="宋体"/>
                <w:color w:val="auto"/>
                <w:sz w:val="18"/>
                <w:szCs w:val="18"/>
                <w:highlight w:val="none"/>
              </w:rPr>
              <w:t>　</w:t>
            </w:r>
          </w:p>
        </w:tc>
        <w:tc>
          <w:tcPr>
            <w:tcW w:w="820"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r>
              <w:rPr>
                <w:rFonts w:hint="eastAsia" w:ascii="宋体" w:hAnsi="宋体"/>
                <w:color w:val="auto"/>
                <w:sz w:val="18"/>
                <w:szCs w:val="18"/>
                <w:highlight w:val="none"/>
              </w:rPr>
              <w:t>4</w:t>
            </w:r>
          </w:p>
        </w:tc>
        <w:tc>
          <w:tcPr>
            <w:tcW w:w="816"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4</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100%</w:t>
            </w:r>
          </w:p>
        </w:tc>
        <w:tc>
          <w:tcPr>
            <w:tcW w:w="2312" w:type="dxa"/>
            <w:tcBorders>
              <w:top w:val="nil"/>
              <w:left w:val="nil"/>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调出</w:t>
            </w:r>
            <w:r>
              <w:rPr>
                <w:rFonts w:ascii="宋体" w:hAnsi="宋体"/>
                <w:color w:val="auto"/>
                <w:sz w:val="18"/>
                <w:szCs w:val="18"/>
                <w:highlight w:val="none"/>
              </w:rPr>
              <w:t>资金</w:t>
            </w:r>
          </w:p>
        </w:tc>
        <w:tc>
          <w:tcPr>
            <w:tcW w:w="819" w:type="dxa"/>
            <w:tcBorders>
              <w:top w:val="nil"/>
              <w:left w:val="nil"/>
              <w:bottom w:val="single" w:color="auto" w:sz="4" w:space="0"/>
              <w:right w:val="single" w:color="auto" w:sz="4" w:space="0"/>
            </w:tcBorders>
            <w:noWrap/>
            <w:vAlign w:val="center"/>
          </w:tcPr>
          <w:p>
            <w:pPr>
              <w:jc w:val="center"/>
              <w:rPr>
                <w:rFonts w:ascii="宋体" w:hAnsi="宋体"/>
                <w:color w:val="auto"/>
                <w:sz w:val="18"/>
                <w:szCs w:val="18"/>
                <w:highlight w:val="none"/>
              </w:rPr>
            </w:pPr>
            <w:r>
              <w:rPr>
                <w:rFonts w:hint="eastAsia" w:ascii="宋体" w:hAnsi="宋体"/>
                <w:color w:val="auto"/>
                <w:sz w:val="18"/>
                <w:szCs w:val="18"/>
                <w:highlight w:val="none"/>
              </w:rPr>
              <w:t>231</w:t>
            </w:r>
          </w:p>
        </w:tc>
        <w:tc>
          <w:tcPr>
            <w:tcW w:w="772"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36</w:t>
            </w:r>
          </w:p>
        </w:tc>
        <w:tc>
          <w:tcPr>
            <w:tcW w:w="962"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lang w:val="en-US" w:eastAsia="zh-CN"/>
              </w:rPr>
            </w:pPr>
            <w:r>
              <w:rPr>
                <w:rFonts w:hint="eastAsia" w:ascii="宋体" w:hAnsi="宋体"/>
                <w:color w:val="auto"/>
                <w:sz w:val="18"/>
                <w:szCs w:val="18"/>
                <w:highlight w:val="none"/>
                <w:lang w:val="en-US" w:eastAsia="zh-CN"/>
              </w:rPr>
              <w:t>15.5%</w:t>
            </w:r>
          </w:p>
        </w:tc>
      </w:tr>
      <w:tr>
        <w:tblPrEx>
          <w:tblCellMar>
            <w:top w:w="0" w:type="dxa"/>
            <w:left w:w="108" w:type="dxa"/>
            <w:bottom w:w="0" w:type="dxa"/>
            <w:right w:w="108" w:type="dxa"/>
          </w:tblCellMar>
        </w:tblPrEx>
        <w:trPr>
          <w:trHeight w:val="856" w:hRule="atLeast"/>
          <w:jc w:val="center"/>
        </w:trPr>
        <w:tc>
          <w:tcPr>
            <w:tcW w:w="2072" w:type="dxa"/>
            <w:tcBorders>
              <w:top w:val="nil"/>
              <w:left w:val="single" w:color="auto" w:sz="4" w:space="0"/>
              <w:bottom w:val="single" w:color="auto" w:sz="4" w:space="0"/>
              <w:right w:val="single" w:color="auto" w:sz="4" w:space="0"/>
            </w:tcBorders>
            <w:noWrap/>
            <w:vAlign w:val="center"/>
          </w:tcPr>
          <w:p>
            <w:pPr>
              <w:jc w:val="left"/>
              <w:rPr>
                <w:rFonts w:ascii="宋体" w:hAnsi="宋体"/>
                <w:color w:val="auto"/>
                <w:sz w:val="18"/>
                <w:szCs w:val="18"/>
                <w:highlight w:val="none"/>
              </w:rPr>
            </w:pPr>
            <w:r>
              <w:rPr>
                <w:rFonts w:hint="eastAsia" w:ascii="宋体" w:hAnsi="宋体"/>
                <w:color w:val="auto"/>
                <w:sz w:val="18"/>
                <w:szCs w:val="18"/>
                <w:highlight w:val="none"/>
              </w:rPr>
              <w:t>收入合计</w:t>
            </w:r>
          </w:p>
        </w:tc>
        <w:tc>
          <w:tcPr>
            <w:tcW w:w="820"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r>
              <w:rPr>
                <w:rFonts w:hint="eastAsia" w:ascii="宋体" w:hAnsi="宋体"/>
                <w:color w:val="auto"/>
                <w:sz w:val="18"/>
                <w:szCs w:val="18"/>
                <w:highlight w:val="none"/>
              </w:rPr>
              <w:t>685</w:t>
            </w:r>
          </w:p>
        </w:tc>
        <w:tc>
          <w:tcPr>
            <w:tcW w:w="816" w:type="dxa"/>
            <w:tcBorders>
              <w:top w:val="nil"/>
              <w:left w:val="nil"/>
              <w:bottom w:val="single" w:color="auto" w:sz="4" w:space="0"/>
              <w:right w:val="single" w:color="auto" w:sz="4" w:space="0"/>
            </w:tcBorders>
            <w:noWrap/>
            <w:vAlign w:val="center"/>
          </w:tcPr>
          <w:p>
            <w:pPr>
              <w:widowControl/>
              <w:spacing w:line="300" w:lineRule="exact"/>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286</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hint="eastAsia"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41.7%</w:t>
            </w:r>
          </w:p>
        </w:tc>
        <w:tc>
          <w:tcPr>
            <w:tcW w:w="2312" w:type="dxa"/>
            <w:tcBorders>
              <w:top w:val="nil"/>
              <w:left w:val="nil"/>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支出合计</w:t>
            </w:r>
          </w:p>
        </w:tc>
        <w:tc>
          <w:tcPr>
            <w:tcW w:w="819" w:type="dxa"/>
            <w:tcBorders>
              <w:top w:val="nil"/>
              <w:left w:val="nil"/>
              <w:bottom w:val="single" w:color="auto" w:sz="4" w:space="0"/>
              <w:right w:val="single" w:color="auto" w:sz="4" w:space="0"/>
            </w:tcBorders>
            <w:noWrap/>
            <w:vAlign w:val="center"/>
          </w:tcPr>
          <w:p>
            <w:pPr>
              <w:jc w:val="center"/>
              <w:rPr>
                <w:rFonts w:ascii="宋体" w:hAnsi="宋体"/>
                <w:color w:val="auto"/>
                <w:sz w:val="18"/>
                <w:szCs w:val="18"/>
                <w:highlight w:val="none"/>
              </w:rPr>
            </w:pPr>
            <w:r>
              <w:rPr>
                <w:rFonts w:hint="eastAsia" w:ascii="宋体" w:hAnsi="宋体"/>
                <w:color w:val="auto"/>
                <w:sz w:val="18"/>
                <w:szCs w:val="18"/>
                <w:highlight w:val="none"/>
              </w:rPr>
              <w:t>463</w:t>
            </w:r>
          </w:p>
        </w:tc>
        <w:tc>
          <w:tcPr>
            <w:tcW w:w="772"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264</w:t>
            </w:r>
          </w:p>
        </w:tc>
        <w:tc>
          <w:tcPr>
            <w:tcW w:w="962"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lang w:val="en-US" w:eastAsia="zh-CN"/>
              </w:rPr>
            </w:pPr>
            <w:r>
              <w:rPr>
                <w:rFonts w:hint="eastAsia" w:ascii="宋体" w:hAnsi="宋体"/>
                <w:color w:val="auto"/>
                <w:sz w:val="18"/>
                <w:szCs w:val="18"/>
                <w:highlight w:val="none"/>
                <w:lang w:val="en-US" w:eastAsia="zh-CN"/>
              </w:rPr>
              <w:t>57%</w:t>
            </w:r>
          </w:p>
        </w:tc>
      </w:tr>
      <w:tr>
        <w:tblPrEx>
          <w:tblCellMar>
            <w:top w:w="0" w:type="dxa"/>
            <w:left w:w="108" w:type="dxa"/>
            <w:bottom w:w="0" w:type="dxa"/>
            <w:right w:w="108" w:type="dxa"/>
          </w:tblCellMar>
        </w:tblPrEx>
        <w:trPr>
          <w:trHeight w:val="745" w:hRule="atLeast"/>
          <w:jc w:val="center"/>
        </w:trPr>
        <w:tc>
          <w:tcPr>
            <w:tcW w:w="2072" w:type="dxa"/>
            <w:tcBorders>
              <w:top w:val="nil"/>
              <w:left w:val="single" w:color="auto" w:sz="4" w:space="0"/>
              <w:bottom w:val="single" w:color="auto" w:sz="4" w:space="0"/>
              <w:right w:val="single" w:color="auto" w:sz="4" w:space="0"/>
            </w:tcBorders>
            <w:noWrap/>
            <w:vAlign w:val="center"/>
          </w:tcPr>
          <w:p>
            <w:pPr>
              <w:rPr>
                <w:rFonts w:ascii="宋体" w:hAnsi="宋体"/>
                <w:color w:val="auto"/>
                <w:sz w:val="18"/>
                <w:szCs w:val="18"/>
                <w:highlight w:val="none"/>
              </w:rPr>
            </w:pPr>
          </w:p>
        </w:tc>
        <w:tc>
          <w:tcPr>
            <w:tcW w:w="820"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p>
        </w:tc>
        <w:tc>
          <w:tcPr>
            <w:tcW w:w="816"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p>
        </w:tc>
        <w:tc>
          <w:tcPr>
            <w:tcW w:w="955"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rPr>
            </w:pPr>
          </w:p>
        </w:tc>
        <w:tc>
          <w:tcPr>
            <w:tcW w:w="2312" w:type="dxa"/>
            <w:tcBorders>
              <w:top w:val="nil"/>
              <w:left w:val="nil"/>
              <w:bottom w:val="single" w:color="auto" w:sz="4" w:space="0"/>
              <w:right w:val="single" w:color="auto" w:sz="4" w:space="0"/>
            </w:tcBorders>
            <w:noWrap/>
            <w:vAlign w:val="center"/>
          </w:tcPr>
          <w:p>
            <w:pPr>
              <w:rPr>
                <w:rFonts w:ascii="宋体" w:hAnsi="宋体"/>
                <w:color w:val="auto"/>
                <w:sz w:val="18"/>
                <w:szCs w:val="18"/>
                <w:highlight w:val="none"/>
              </w:rPr>
            </w:pPr>
            <w:r>
              <w:rPr>
                <w:rFonts w:hint="eastAsia" w:ascii="宋体" w:hAnsi="宋体"/>
                <w:color w:val="auto"/>
                <w:sz w:val="18"/>
                <w:szCs w:val="18"/>
                <w:highlight w:val="none"/>
              </w:rPr>
              <w:t>结转</w:t>
            </w:r>
            <w:r>
              <w:rPr>
                <w:rFonts w:ascii="宋体" w:hAnsi="宋体"/>
                <w:color w:val="auto"/>
                <w:sz w:val="18"/>
                <w:szCs w:val="18"/>
                <w:highlight w:val="none"/>
              </w:rPr>
              <w:t>下年</w:t>
            </w:r>
          </w:p>
        </w:tc>
        <w:tc>
          <w:tcPr>
            <w:tcW w:w="819"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222</w:t>
            </w:r>
          </w:p>
        </w:tc>
        <w:tc>
          <w:tcPr>
            <w:tcW w:w="772"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22</w:t>
            </w:r>
          </w:p>
        </w:tc>
        <w:tc>
          <w:tcPr>
            <w:tcW w:w="962" w:type="dxa"/>
            <w:tcBorders>
              <w:top w:val="nil"/>
              <w:left w:val="nil"/>
              <w:bottom w:val="single" w:color="auto" w:sz="4" w:space="0"/>
              <w:right w:val="single" w:color="auto" w:sz="4" w:space="0"/>
            </w:tcBorders>
            <w:noWrap/>
            <w:vAlign w:val="center"/>
          </w:tcPr>
          <w:p>
            <w:pPr>
              <w:jc w:val="center"/>
              <w:rPr>
                <w:rFonts w:hint="eastAsia" w:ascii="宋体" w:hAnsi="宋体"/>
                <w:color w:val="auto"/>
                <w:sz w:val="18"/>
                <w:szCs w:val="18"/>
                <w:highlight w:val="none"/>
                <w:lang w:val="en-US" w:eastAsia="zh-CN"/>
              </w:rPr>
            </w:pPr>
            <w:r>
              <w:rPr>
                <w:rFonts w:hint="eastAsia" w:ascii="宋体" w:hAnsi="宋体"/>
                <w:color w:val="auto"/>
                <w:sz w:val="18"/>
                <w:szCs w:val="18"/>
                <w:highlight w:val="none"/>
                <w:lang w:val="en-US" w:eastAsia="zh-CN"/>
              </w:rPr>
              <w:t>9.9%</w:t>
            </w:r>
          </w:p>
        </w:tc>
      </w:tr>
      <w:bookmarkEnd w:id="0"/>
    </w:tbl>
    <w:p>
      <w:pPr>
        <w:rPr>
          <w:color w:val="auto"/>
          <w:highlight w:val="none"/>
        </w:rPr>
      </w:pPr>
    </w:p>
    <w:p>
      <w:pPr>
        <w:rPr>
          <w:rFonts w:ascii="黑体" w:hAnsi="黑体" w:eastAsia="黑体" w:cs="宋体"/>
          <w:color w:val="auto"/>
          <w:kern w:val="0"/>
          <w:sz w:val="36"/>
          <w:szCs w:val="36"/>
          <w:highlight w:val="none"/>
        </w:rPr>
      </w:pPr>
      <w:r>
        <w:rPr>
          <w:rFonts w:hint="eastAsia" w:ascii="黑体" w:hAnsi="黑体" w:eastAsia="黑体" w:cs="宋体"/>
          <w:color w:val="auto"/>
          <w:kern w:val="0"/>
          <w:sz w:val="36"/>
          <w:szCs w:val="36"/>
          <w:highlight w:val="none"/>
          <w:lang w:val="en-US" w:eastAsia="zh-CN"/>
        </w:rPr>
        <w:t>附件3</w:t>
      </w:r>
      <w:r>
        <w:rPr>
          <w:rFonts w:hint="eastAsia" w:ascii="黑体" w:hAnsi="黑体" w:eastAsia="黑体" w:cs="宋体"/>
          <w:color w:val="auto"/>
          <w:kern w:val="0"/>
          <w:sz w:val="36"/>
          <w:szCs w:val="36"/>
          <w:highlight w:val="none"/>
        </w:rPr>
        <w:t xml:space="preserve">-01    </w:t>
      </w:r>
    </w:p>
    <w:p>
      <w:pPr>
        <w:spacing w:line="400" w:lineRule="exact"/>
        <w:jc w:val="center"/>
        <w:rPr>
          <w:rFonts w:ascii="方正小标宋简体" w:hAnsi="宋体" w:eastAsia="方正小标宋简体" w:cs="宋体"/>
          <w:color w:val="auto"/>
          <w:sz w:val="36"/>
          <w:szCs w:val="36"/>
          <w:highlight w:val="none"/>
        </w:rPr>
      </w:pPr>
      <w:r>
        <w:rPr>
          <w:rFonts w:hint="eastAsia" w:ascii="方正小标宋简体" w:eastAsia="方正小标宋简体"/>
          <w:color w:val="auto"/>
          <w:sz w:val="36"/>
          <w:szCs w:val="36"/>
          <w:highlight w:val="none"/>
          <w:lang w:eastAsia="zh-CN"/>
        </w:rPr>
        <w:t>2022年</w:t>
      </w:r>
      <w:r>
        <w:rPr>
          <w:rFonts w:hint="eastAsia" w:ascii="方正小标宋简体" w:eastAsia="方正小标宋简体"/>
          <w:color w:val="auto"/>
          <w:sz w:val="36"/>
          <w:szCs w:val="36"/>
          <w:highlight w:val="none"/>
        </w:rPr>
        <w:t>一般公共预算（草案）计划表</w:t>
      </w:r>
    </w:p>
    <w:p>
      <w:pPr>
        <w:spacing w:line="360" w:lineRule="exact"/>
        <w:rPr>
          <w:rFonts w:ascii="宋体" w:hAnsi="宋体" w:cs="宋体"/>
          <w:color w:val="auto"/>
          <w:sz w:val="24"/>
          <w:highlight w:val="none"/>
        </w:rPr>
      </w:pPr>
      <w:r>
        <w:rPr>
          <w:rFonts w:hint="eastAsia" w:ascii="仿宋_GB2312" w:hAnsi="宋体" w:eastAsia="仿宋_GB2312" w:cs="宋体"/>
          <w:color w:val="auto"/>
          <w:kern w:val="0"/>
          <w:sz w:val="32"/>
          <w:szCs w:val="32"/>
          <w:highlight w:val="none"/>
        </w:rPr>
        <w:t xml:space="preserve">                                                 </w:t>
      </w:r>
      <w:r>
        <w:rPr>
          <w:rFonts w:hint="eastAsia"/>
          <w:color w:val="auto"/>
          <w:highlight w:val="none"/>
        </w:rPr>
        <w:t>单位：万元</w:t>
      </w:r>
    </w:p>
    <w:tbl>
      <w:tblPr>
        <w:tblStyle w:val="11"/>
        <w:tblW w:w="9375" w:type="dxa"/>
        <w:tblInd w:w="93" w:type="dxa"/>
        <w:tblLayout w:type="autofit"/>
        <w:tblCellMar>
          <w:top w:w="0" w:type="dxa"/>
          <w:left w:w="108" w:type="dxa"/>
          <w:bottom w:w="0" w:type="dxa"/>
          <w:right w:w="108" w:type="dxa"/>
        </w:tblCellMar>
      </w:tblPr>
      <w:tblGrid>
        <w:gridCol w:w="2620"/>
        <w:gridCol w:w="1080"/>
        <w:gridCol w:w="2615"/>
        <w:gridCol w:w="1080"/>
        <w:gridCol w:w="1080"/>
        <w:gridCol w:w="900"/>
      </w:tblGrid>
      <w:tr>
        <w:tblPrEx>
          <w:tblCellMar>
            <w:top w:w="0" w:type="dxa"/>
            <w:left w:w="108" w:type="dxa"/>
            <w:bottom w:w="0" w:type="dxa"/>
            <w:right w:w="108" w:type="dxa"/>
          </w:tblCellMar>
        </w:tblPrEx>
        <w:trPr>
          <w:trHeight w:val="355" w:hRule="atLeast"/>
        </w:trPr>
        <w:tc>
          <w:tcPr>
            <w:tcW w:w="370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收 入 预 算</w:t>
            </w:r>
          </w:p>
        </w:tc>
        <w:tc>
          <w:tcPr>
            <w:tcW w:w="5675" w:type="dxa"/>
            <w:gridSpan w:val="4"/>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支  出  预  算</w:t>
            </w:r>
          </w:p>
        </w:tc>
      </w:tr>
      <w:tr>
        <w:trPr>
          <w:trHeight w:val="397" w:hRule="atLeast"/>
        </w:trPr>
        <w:tc>
          <w:tcPr>
            <w:tcW w:w="2620" w:type="dxa"/>
            <w:tcBorders>
              <w:top w:val="nil"/>
              <w:left w:val="single" w:color="auto" w:sz="4" w:space="0"/>
              <w:bottom w:val="single" w:color="auto" w:sz="4" w:space="0"/>
              <w:right w:val="single" w:color="auto" w:sz="4" w:space="0"/>
            </w:tcBorders>
            <w:noWrap w:val="0"/>
            <w:vAlign w:val="center"/>
          </w:tcPr>
          <w:p>
            <w:pPr>
              <w:widowControl/>
              <w:spacing w:line="22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项   目</w:t>
            </w:r>
          </w:p>
        </w:tc>
        <w:tc>
          <w:tcPr>
            <w:tcW w:w="1080" w:type="dxa"/>
            <w:tcBorders>
              <w:top w:val="nil"/>
              <w:left w:val="nil"/>
              <w:bottom w:val="single" w:color="auto" w:sz="4" w:space="0"/>
              <w:right w:val="single" w:color="auto" w:sz="4" w:space="0"/>
            </w:tcBorders>
            <w:noWrap w:val="0"/>
            <w:vAlign w:val="center"/>
          </w:tcPr>
          <w:p>
            <w:pPr>
              <w:widowControl/>
              <w:spacing w:line="22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金  额</w:t>
            </w:r>
          </w:p>
        </w:tc>
        <w:tc>
          <w:tcPr>
            <w:tcW w:w="2615" w:type="dxa"/>
            <w:tcBorders>
              <w:top w:val="nil"/>
              <w:left w:val="nil"/>
              <w:bottom w:val="single" w:color="auto" w:sz="4" w:space="0"/>
              <w:right w:val="single" w:color="auto" w:sz="4" w:space="0"/>
            </w:tcBorders>
            <w:noWrap w:val="0"/>
            <w:vAlign w:val="center"/>
          </w:tcPr>
          <w:p>
            <w:pPr>
              <w:widowControl/>
              <w:spacing w:line="22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项   目</w:t>
            </w:r>
          </w:p>
        </w:tc>
        <w:tc>
          <w:tcPr>
            <w:tcW w:w="1080" w:type="dxa"/>
            <w:tcBorders>
              <w:top w:val="nil"/>
              <w:left w:val="nil"/>
              <w:bottom w:val="single" w:color="auto" w:sz="4" w:space="0"/>
              <w:right w:val="single" w:color="auto" w:sz="4" w:space="0"/>
            </w:tcBorders>
            <w:noWrap w:val="0"/>
            <w:vAlign w:val="center"/>
          </w:tcPr>
          <w:p>
            <w:pPr>
              <w:widowControl/>
              <w:spacing w:line="22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合  计</w:t>
            </w:r>
          </w:p>
        </w:tc>
        <w:tc>
          <w:tcPr>
            <w:tcW w:w="1080" w:type="dxa"/>
            <w:tcBorders>
              <w:top w:val="nil"/>
              <w:left w:val="nil"/>
              <w:bottom w:val="single" w:color="auto" w:sz="4" w:space="0"/>
              <w:right w:val="single" w:color="auto" w:sz="4" w:space="0"/>
            </w:tcBorders>
            <w:noWrap w:val="0"/>
            <w:vAlign w:val="center"/>
          </w:tcPr>
          <w:p>
            <w:pPr>
              <w:widowControl/>
              <w:spacing w:line="220" w:lineRule="exact"/>
              <w:ind w:firstLine="90" w:firstLineChars="50"/>
              <w:jc w:val="left"/>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县本级</w:t>
            </w:r>
          </w:p>
        </w:tc>
        <w:tc>
          <w:tcPr>
            <w:tcW w:w="900" w:type="dxa"/>
            <w:tcBorders>
              <w:top w:val="nil"/>
              <w:left w:val="nil"/>
              <w:bottom w:val="single" w:color="auto" w:sz="4" w:space="0"/>
              <w:right w:val="single" w:color="auto" w:sz="4" w:space="0"/>
            </w:tcBorders>
            <w:noWrap w:val="0"/>
            <w:vAlign w:val="center"/>
          </w:tcPr>
          <w:p>
            <w:pPr>
              <w:widowControl/>
              <w:spacing w:line="220" w:lineRule="exact"/>
              <w:ind w:firstLine="90" w:firstLineChars="50"/>
              <w:jc w:val="left"/>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乡 镇</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一、地方一般公共预算收入</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lang w:val="en-US" w:eastAsia="zh-CN"/>
              </w:rPr>
              <w:t>70000</w:t>
            </w:r>
            <w:r>
              <w:rPr>
                <w:rFonts w:hint="eastAsia" w:ascii="宋体" w:hAnsi="宋体" w:cs="宋体"/>
                <w:bCs/>
                <w:color w:val="auto"/>
                <w:kern w:val="0"/>
                <w:sz w:val="18"/>
                <w:szCs w:val="18"/>
                <w:highlight w:val="none"/>
              </w:rPr>
              <w:t xml:space="preserve"> </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一、地方一般公共预算支出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 xml:space="preserve">314089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283284</w:t>
            </w: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30805</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（一）税收收入</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53000</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201、一般公共服务支出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cs="宋体"/>
                <w:bCs/>
                <w:color w:val="auto"/>
                <w:kern w:val="0"/>
                <w:sz w:val="18"/>
                <w:szCs w:val="18"/>
                <w:highlight w:val="none"/>
                <w:lang w:val="en-US" w:eastAsia="zh-CN"/>
              </w:rPr>
            </w:pPr>
            <w:r>
              <w:rPr>
                <w:rFonts w:hint="eastAsia" w:ascii="宋体" w:hAnsi="宋体" w:cs="宋体"/>
                <w:i w:val="0"/>
                <w:iCs w:val="0"/>
                <w:color w:val="auto"/>
                <w:kern w:val="0"/>
                <w:sz w:val="18"/>
                <w:szCs w:val="18"/>
                <w:highlight w:val="none"/>
                <w:u w:val="none"/>
                <w:lang w:val="en-US" w:eastAsia="zh-CN" w:bidi="ar"/>
              </w:rPr>
              <w:t>63344</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48851</w:t>
            </w: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cs="宋体"/>
                <w:bCs/>
                <w:color w:val="auto"/>
                <w:kern w:val="0"/>
                <w:sz w:val="18"/>
                <w:szCs w:val="18"/>
                <w:highlight w:val="none"/>
                <w:lang w:val="en-US" w:eastAsia="zh-CN"/>
              </w:rPr>
            </w:pPr>
            <w:r>
              <w:rPr>
                <w:rFonts w:hint="eastAsia" w:ascii="宋体" w:hAnsi="宋体" w:cs="宋体"/>
                <w:i w:val="0"/>
                <w:iCs w:val="0"/>
                <w:color w:val="auto"/>
                <w:kern w:val="0"/>
                <w:sz w:val="18"/>
                <w:szCs w:val="18"/>
                <w:highlight w:val="none"/>
                <w:u w:val="none"/>
                <w:lang w:val="en-US" w:eastAsia="zh-CN" w:bidi="ar"/>
              </w:rPr>
              <w:t>14493</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（二）非税收入</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17000</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w:t>
            </w:r>
            <w:r>
              <w:rPr>
                <w:rFonts w:ascii="宋体" w:hAnsi="宋体" w:cs="宋体"/>
                <w:color w:val="auto"/>
                <w:kern w:val="0"/>
                <w:sz w:val="18"/>
                <w:szCs w:val="18"/>
                <w:highlight w:val="none"/>
              </w:rPr>
              <w:t>03、国防支出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cs="宋体"/>
                <w:bCs/>
                <w:color w:val="auto"/>
                <w:kern w:val="0"/>
                <w:sz w:val="18"/>
                <w:szCs w:val="18"/>
                <w:highlight w:val="none"/>
                <w:lang w:val="en-US" w:eastAsia="zh-CN"/>
              </w:rPr>
            </w:pPr>
            <w:r>
              <w:rPr>
                <w:rFonts w:hint="eastAsia" w:ascii="宋体" w:hAnsi="宋体" w:cs="宋体"/>
                <w:i w:val="0"/>
                <w:iCs w:val="0"/>
                <w:color w:val="auto"/>
                <w:kern w:val="0"/>
                <w:sz w:val="18"/>
                <w:szCs w:val="18"/>
                <w:highlight w:val="none"/>
                <w:u w:val="none"/>
                <w:lang w:val="en-US" w:eastAsia="zh-CN" w:bidi="ar"/>
              </w:rPr>
              <w:t>111</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111</w:t>
            </w:r>
          </w:p>
        </w:tc>
        <w:tc>
          <w:tcPr>
            <w:tcW w:w="900" w:type="dxa"/>
            <w:tcBorders>
              <w:top w:val="nil"/>
              <w:left w:val="nil"/>
              <w:bottom w:val="single" w:color="auto" w:sz="4" w:space="0"/>
              <w:right w:val="single" w:color="auto" w:sz="4" w:space="0"/>
            </w:tcBorders>
            <w:noWrap/>
            <w:vAlign w:val="center"/>
          </w:tcPr>
          <w:p>
            <w:pPr>
              <w:jc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eastAsia="宋体" w:cs="宋体"/>
                <w:bCs/>
                <w:color w:val="auto"/>
                <w:kern w:val="0"/>
                <w:sz w:val="18"/>
                <w:szCs w:val="18"/>
                <w:highlight w:val="none"/>
                <w:lang w:val="en-US" w:eastAsia="zh-CN" w:bidi="ar-SA"/>
              </w:rPr>
            </w:pPr>
            <w:r>
              <w:rPr>
                <w:rFonts w:hint="eastAsia" w:ascii="宋体" w:hAnsi="宋体" w:cs="宋体"/>
                <w:bCs/>
                <w:color w:val="auto"/>
                <w:kern w:val="0"/>
                <w:sz w:val="18"/>
                <w:szCs w:val="18"/>
                <w:highlight w:val="none"/>
              </w:rPr>
              <w:t>二、上级补助收入</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bCs/>
                <w:color w:val="auto"/>
                <w:kern w:val="0"/>
                <w:sz w:val="18"/>
                <w:szCs w:val="18"/>
                <w:highlight w:val="none"/>
                <w:lang w:val="en-US" w:eastAsia="zh-CN" w:bidi="ar-SA"/>
              </w:rPr>
            </w:pPr>
            <w:r>
              <w:rPr>
                <w:rFonts w:hint="eastAsia" w:ascii="宋体" w:hAnsi="宋体" w:cs="宋体"/>
                <w:bCs/>
                <w:color w:val="auto"/>
                <w:kern w:val="0"/>
                <w:sz w:val="18"/>
                <w:szCs w:val="18"/>
                <w:highlight w:val="none"/>
                <w:lang w:val="en-US" w:eastAsia="zh-CN"/>
              </w:rPr>
              <w:t>212856</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204、公共安全支出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9951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9882</w:t>
            </w: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69</w:t>
            </w:r>
          </w:p>
        </w:tc>
      </w:tr>
      <w:tr>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eastAsia="宋体" w:cs="宋体"/>
                <w:color w:val="auto"/>
                <w:kern w:val="0"/>
                <w:sz w:val="18"/>
                <w:szCs w:val="18"/>
                <w:highlight w:val="none"/>
                <w:lang w:val="en-US" w:eastAsia="zh-CN" w:bidi="ar-SA"/>
              </w:rPr>
            </w:pPr>
            <w:r>
              <w:rPr>
                <w:rFonts w:hint="eastAsia" w:ascii="宋体" w:hAnsi="宋体" w:cs="宋体"/>
                <w:color w:val="auto"/>
                <w:kern w:val="0"/>
                <w:sz w:val="18"/>
                <w:szCs w:val="18"/>
                <w:highlight w:val="none"/>
              </w:rPr>
              <w:t>（一）返还性收入</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color w:val="auto"/>
                <w:kern w:val="0"/>
                <w:sz w:val="18"/>
                <w:szCs w:val="18"/>
                <w:highlight w:val="none"/>
                <w:lang w:val="en-US" w:eastAsia="zh-CN" w:bidi="ar-SA"/>
              </w:rPr>
            </w:pPr>
            <w:r>
              <w:rPr>
                <w:rFonts w:ascii="宋体" w:hAnsi="宋体" w:cs="宋体"/>
                <w:color w:val="auto"/>
                <w:kern w:val="0"/>
                <w:sz w:val="18"/>
                <w:szCs w:val="18"/>
                <w:highlight w:val="none"/>
              </w:rPr>
              <w:t>15471</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205、教育支出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52365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52365</w:t>
            </w:r>
          </w:p>
        </w:tc>
        <w:tc>
          <w:tcPr>
            <w:tcW w:w="900" w:type="dxa"/>
            <w:tcBorders>
              <w:top w:val="nil"/>
              <w:left w:val="nil"/>
              <w:bottom w:val="single" w:color="auto" w:sz="4" w:space="0"/>
              <w:right w:val="single" w:color="auto" w:sz="4" w:space="0"/>
            </w:tcBorders>
            <w:noWrap/>
            <w:vAlign w:val="center"/>
          </w:tcPr>
          <w:p>
            <w:pPr>
              <w:jc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eastAsia="宋体" w:cs="宋体"/>
                <w:color w:val="auto"/>
                <w:kern w:val="0"/>
                <w:sz w:val="18"/>
                <w:szCs w:val="18"/>
                <w:highlight w:val="none"/>
                <w:lang w:val="en-US" w:eastAsia="zh-CN" w:bidi="ar-SA"/>
              </w:rPr>
            </w:pPr>
            <w:r>
              <w:rPr>
                <w:rFonts w:hint="eastAsia" w:ascii="宋体" w:hAnsi="宋体" w:cs="宋体"/>
                <w:color w:val="auto"/>
                <w:kern w:val="0"/>
                <w:sz w:val="18"/>
                <w:szCs w:val="18"/>
                <w:highlight w:val="none"/>
              </w:rPr>
              <w:t>（二）一般转移支付收入</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color w:val="auto"/>
                <w:kern w:val="0"/>
                <w:sz w:val="18"/>
                <w:szCs w:val="18"/>
                <w:highlight w:val="none"/>
                <w:lang w:val="en-US" w:eastAsia="zh-CN" w:bidi="ar-SA"/>
              </w:rPr>
            </w:pPr>
            <w:r>
              <w:rPr>
                <w:rFonts w:hint="eastAsia" w:ascii="宋体" w:hAnsi="宋体" w:cs="宋体"/>
                <w:color w:val="auto"/>
                <w:kern w:val="0"/>
                <w:sz w:val="18"/>
                <w:szCs w:val="18"/>
                <w:highlight w:val="none"/>
                <w:lang w:val="en-US" w:eastAsia="zh-CN"/>
              </w:rPr>
              <w:t>176784</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206、科学技术支出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2492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2492</w:t>
            </w:r>
          </w:p>
        </w:tc>
        <w:tc>
          <w:tcPr>
            <w:tcW w:w="900" w:type="dxa"/>
            <w:tcBorders>
              <w:top w:val="nil"/>
              <w:left w:val="nil"/>
              <w:bottom w:val="single" w:color="auto" w:sz="4" w:space="0"/>
              <w:right w:val="single" w:color="auto" w:sz="4" w:space="0"/>
            </w:tcBorders>
            <w:noWrap/>
            <w:vAlign w:val="center"/>
          </w:tcPr>
          <w:p>
            <w:pPr>
              <w:jc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eastAsia="宋体" w:cs="宋体"/>
                <w:color w:val="auto"/>
                <w:kern w:val="0"/>
                <w:sz w:val="18"/>
                <w:szCs w:val="18"/>
                <w:highlight w:val="none"/>
                <w:lang w:val="en-US" w:eastAsia="zh-CN" w:bidi="ar-SA"/>
              </w:rPr>
            </w:pPr>
            <w:r>
              <w:rPr>
                <w:rFonts w:hint="eastAsia" w:ascii="宋体" w:hAnsi="宋体" w:cs="宋体"/>
                <w:color w:val="auto"/>
                <w:kern w:val="0"/>
                <w:sz w:val="18"/>
                <w:szCs w:val="18"/>
                <w:highlight w:val="none"/>
              </w:rPr>
              <w:t>（三）专项转移支付收入</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color w:val="auto"/>
                <w:kern w:val="0"/>
                <w:sz w:val="18"/>
                <w:szCs w:val="18"/>
                <w:highlight w:val="none"/>
                <w:lang w:val="en-US" w:eastAsia="zh-CN" w:bidi="ar-SA"/>
              </w:rPr>
            </w:pPr>
            <w:r>
              <w:rPr>
                <w:rFonts w:hint="eastAsia" w:ascii="宋体" w:hAnsi="宋体" w:cs="宋体"/>
                <w:color w:val="auto"/>
                <w:kern w:val="0"/>
                <w:sz w:val="18"/>
                <w:szCs w:val="18"/>
                <w:highlight w:val="none"/>
                <w:lang w:val="en-US" w:eastAsia="zh-CN"/>
              </w:rPr>
              <w:t>20601</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207、文化旅游体育与传媒支出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4041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3981</w:t>
            </w: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60</w:t>
            </w:r>
          </w:p>
        </w:tc>
      </w:tr>
      <w:tr>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eastAsia="宋体" w:cs="宋体"/>
                <w:bCs/>
                <w:color w:val="auto"/>
                <w:kern w:val="0"/>
                <w:sz w:val="18"/>
                <w:szCs w:val="18"/>
                <w:highlight w:val="none"/>
                <w:lang w:val="en-US" w:eastAsia="zh-CN" w:bidi="ar-SA"/>
              </w:rPr>
            </w:pPr>
            <w:r>
              <w:rPr>
                <w:rFonts w:hint="eastAsia" w:ascii="宋体" w:hAnsi="宋体" w:cs="宋体"/>
                <w:bCs/>
                <w:color w:val="auto"/>
                <w:kern w:val="0"/>
                <w:sz w:val="18"/>
                <w:szCs w:val="18"/>
                <w:highlight w:val="none"/>
              </w:rPr>
              <w:t>三、上年结转</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bCs/>
                <w:color w:val="auto"/>
                <w:kern w:val="0"/>
                <w:sz w:val="18"/>
                <w:szCs w:val="18"/>
                <w:highlight w:val="none"/>
                <w:lang w:val="en-US" w:eastAsia="zh-CN" w:bidi="ar-SA"/>
              </w:rPr>
            </w:pPr>
            <w:r>
              <w:rPr>
                <w:rFonts w:hint="eastAsia" w:ascii="宋体" w:hAnsi="宋体" w:cs="宋体"/>
                <w:bCs/>
                <w:color w:val="auto"/>
                <w:kern w:val="0"/>
                <w:sz w:val="18"/>
                <w:szCs w:val="18"/>
                <w:highlight w:val="none"/>
                <w:lang w:val="en-US" w:eastAsia="zh-CN"/>
              </w:rPr>
              <w:t>32383</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208、社会保障和就业支出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41698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35986</w:t>
            </w: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5712</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eastAsia="宋体" w:cs="宋体"/>
                <w:bCs/>
                <w:color w:val="auto"/>
                <w:kern w:val="0"/>
                <w:sz w:val="18"/>
                <w:szCs w:val="18"/>
                <w:highlight w:val="none"/>
                <w:lang w:val="en-US" w:eastAsia="zh-CN" w:bidi="ar-SA"/>
              </w:rPr>
            </w:pPr>
            <w:r>
              <w:rPr>
                <w:rFonts w:hint="eastAsia" w:ascii="宋体" w:hAnsi="宋体" w:cs="宋体"/>
                <w:bCs/>
                <w:color w:val="auto"/>
                <w:kern w:val="0"/>
                <w:sz w:val="18"/>
                <w:szCs w:val="18"/>
                <w:highlight w:val="none"/>
              </w:rPr>
              <w:t>四、</w:t>
            </w:r>
            <w:r>
              <w:rPr>
                <w:rFonts w:hint="eastAsia" w:ascii="宋体" w:hAnsi="宋体" w:cs="宋体"/>
                <w:bCs/>
                <w:color w:val="auto"/>
                <w:kern w:val="0"/>
                <w:sz w:val="18"/>
                <w:szCs w:val="18"/>
                <w:highlight w:val="none"/>
                <w:lang w:eastAsia="zh-CN"/>
              </w:rPr>
              <w:t>动用</w:t>
            </w:r>
            <w:r>
              <w:rPr>
                <w:rFonts w:hint="eastAsia" w:ascii="宋体" w:hAnsi="宋体" w:cs="宋体"/>
                <w:bCs/>
                <w:color w:val="auto"/>
                <w:kern w:val="0"/>
                <w:sz w:val="18"/>
                <w:szCs w:val="18"/>
                <w:highlight w:val="none"/>
              </w:rPr>
              <w:t>预算稳定调节基金</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bCs/>
                <w:color w:val="auto"/>
                <w:kern w:val="0"/>
                <w:sz w:val="18"/>
                <w:szCs w:val="18"/>
                <w:highlight w:val="none"/>
                <w:lang w:val="en-US" w:eastAsia="zh-CN" w:bidi="ar-SA"/>
              </w:rPr>
            </w:pPr>
            <w:r>
              <w:rPr>
                <w:rFonts w:hint="eastAsia" w:ascii="宋体" w:hAnsi="宋体" w:cs="宋体"/>
                <w:bCs/>
                <w:color w:val="auto"/>
                <w:kern w:val="0"/>
                <w:sz w:val="18"/>
                <w:szCs w:val="18"/>
                <w:highlight w:val="none"/>
                <w:lang w:val="en-US" w:eastAsia="zh-CN"/>
              </w:rPr>
              <w:t>4132</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210、卫生健康</w:t>
            </w:r>
            <w:r>
              <w:rPr>
                <w:rFonts w:ascii="宋体" w:hAnsi="宋体" w:cs="宋体"/>
                <w:color w:val="auto"/>
                <w:kern w:val="0"/>
                <w:sz w:val="18"/>
                <w:szCs w:val="18"/>
                <w:highlight w:val="none"/>
              </w:rPr>
              <w:t>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46885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46807</w:t>
            </w: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78</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eastAsia="宋体" w:cs="宋体"/>
                <w:bCs/>
                <w:color w:val="auto"/>
                <w:kern w:val="0"/>
                <w:sz w:val="18"/>
                <w:szCs w:val="18"/>
                <w:highlight w:val="none"/>
                <w:lang w:val="en-US" w:eastAsia="zh-CN" w:bidi="ar-SA"/>
              </w:rPr>
            </w:pPr>
            <w:r>
              <w:rPr>
                <w:rFonts w:hint="eastAsia" w:ascii="宋体" w:hAnsi="宋体" w:cs="宋体"/>
                <w:bCs/>
                <w:color w:val="auto"/>
                <w:kern w:val="0"/>
                <w:sz w:val="18"/>
                <w:szCs w:val="18"/>
                <w:highlight w:val="none"/>
              </w:rPr>
              <w:t>五、调入</w:t>
            </w:r>
            <w:r>
              <w:rPr>
                <w:rFonts w:ascii="宋体" w:hAnsi="宋体" w:cs="宋体"/>
                <w:bCs/>
                <w:color w:val="auto"/>
                <w:kern w:val="0"/>
                <w:sz w:val="18"/>
                <w:szCs w:val="18"/>
                <w:highlight w:val="none"/>
              </w:rPr>
              <w:t>资金</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bCs/>
                <w:color w:val="auto"/>
                <w:kern w:val="0"/>
                <w:sz w:val="18"/>
                <w:szCs w:val="18"/>
                <w:highlight w:val="none"/>
                <w:lang w:val="en-US" w:eastAsia="zh-CN" w:bidi="ar-SA"/>
              </w:rPr>
            </w:pPr>
            <w:r>
              <w:rPr>
                <w:rFonts w:hint="eastAsia" w:ascii="宋体" w:hAnsi="宋体" w:cs="宋体"/>
                <w:bCs/>
                <w:color w:val="auto"/>
                <w:kern w:val="0"/>
                <w:sz w:val="18"/>
                <w:szCs w:val="18"/>
                <w:highlight w:val="none"/>
                <w:lang w:val="en-US" w:eastAsia="zh-CN"/>
              </w:rPr>
              <w:t>10331</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211、节能环保支出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3228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3228</w:t>
            </w:r>
          </w:p>
        </w:tc>
        <w:tc>
          <w:tcPr>
            <w:tcW w:w="900" w:type="dxa"/>
            <w:tcBorders>
              <w:top w:val="nil"/>
              <w:left w:val="nil"/>
              <w:bottom w:val="single" w:color="auto" w:sz="4" w:space="0"/>
              <w:right w:val="single" w:color="auto" w:sz="4" w:space="0"/>
            </w:tcBorders>
            <w:noWrap/>
            <w:vAlign w:val="center"/>
          </w:tcPr>
          <w:p>
            <w:pPr>
              <w:jc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eastAsia="宋体" w:cs="宋体"/>
                <w:bCs/>
                <w:color w:val="auto"/>
                <w:kern w:val="0"/>
                <w:sz w:val="18"/>
                <w:szCs w:val="18"/>
                <w:highlight w:val="none"/>
                <w:lang w:val="en-US" w:eastAsia="zh-CN" w:bidi="ar-SA"/>
              </w:rPr>
            </w:pPr>
            <w:r>
              <w:rPr>
                <w:rFonts w:hint="eastAsia" w:ascii="宋体" w:hAnsi="宋体" w:cs="宋体"/>
                <w:bCs/>
                <w:color w:val="auto"/>
                <w:kern w:val="0"/>
                <w:sz w:val="18"/>
                <w:szCs w:val="18"/>
                <w:highlight w:val="none"/>
              </w:rPr>
              <w:t>六、债券转贷收入</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bCs/>
                <w:color w:val="auto"/>
                <w:kern w:val="0"/>
                <w:sz w:val="18"/>
                <w:szCs w:val="18"/>
                <w:highlight w:val="none"/>
                <w:lang w:val="en-US" w:eastAsia="zh-CN" w:bidi="ar-SA"/>
              </w:rPr>
            </w:pPr>
            <w:r>
              <w:rPr>
                <w:rFonts w:hint="eastAsia" w:ascii="宋体" w:hAnsi="宋体" w:cs="宋体"/>
                <w:bCs/>
                <w:color w:val="auto"/>
                <w:kern w:val="0"/>
                <w:sz w:val="18"/>
                <w:szCs w:val="18"/>
                <w:highlight w:val="none"/>
                <w:lang w:val="en-US" w:eastAsia="zh-CN"/>
              </w:rPr>
              <w:t>14439</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212、城乡社区支出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6704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6016</w:t>
            </w: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688</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bCs/>
                <w:color w:val="auto"/>
                <w:kern w:val="0"/>
                <w:sz w:val="18"/>
                <w:szCs w:val="18"/>
                <w:highlight w:val="none"/>
              </w:rPr>
            </w:pP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bCs/>
                <w:color w:val="auto"/>
                <w:kern w:val="0"/>
                <w:sz w:val="18"/>
                <w:szCs w:val="18"/>
                <w:highlight w:val="none"/>
                <w:lang w:val="en-US" w:eastAsia="zh-CN"/>
              </w:rPr>
            </w:pP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213、农林水支出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45407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36466</w:t>
            </w: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8941</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bCs/>
                <w:color w:val="auto"/>
                <w:kern w:val="0"/>
                <w:sz w:val="18"/>
                <w:szCs w:val="18"/>
                <w:highlight w:val="none"/>
              </w:rPr>
            </w:pP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bCs/>
                <w:color w:val="auto"/>
                <w:kern w:val="0"/>
                <w:sz w:val="18"/>
                <w:szCs w:val="18"/>
                <w:highlight w:val="none"/>
                <w:lang w:val="en-US" w:eastAsia="zh-CN"/>
              </w:rPr>
            </w:pP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214、交通运输支出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16669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16320</w:t>
            </w: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349</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bCs/>
                <w:color w:val="auto"/>
                <w:kern w:val="0"/>
                <w:sz w:val="18"/>
                <w:szCs w:val="18"/>
                <w:highlight w:val="none"/>
              </w:rPr>
            </w:pP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bCs/>
                <w:color w:val="auto"/>
                <w:kern w:val="0"/>
                <w:sz w:val="18"/>
                <w:szCs w:val="18"/>
                <w:highlight w:val="none"/>
                <w:lang w:val="en-US" w:eastAsia="zh-CN"/>
              </w:rPr>
            </w:pP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215、资源勘探工业信息等支出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1243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1243</w:t>
            </w:r>
          </w:p>
        </w:tc>
        <w:tc>
          <w:tcPr>
            <w:tcW w:w="900" w:type="dxa"/>
            <w:tcBorders>
              <w:top w:val="nil"/>
              <w:left w:val="nil"/>
              <w:bottom w:val="single" w:color="auto" w:sz="4" w:space="0"/>
              <w:right w:val="single" w:color="auto" w:sz="4" w:space="0"/>
            </w:tcBorders>
            <w:noWrap/>
            <w:vAlign w:val="center"/>
          </w:tcPr>
          <w:p>
            <w:pPr>
              <w:jc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bCs/>
                <w:color w:val="auto"/>
                <w:kern w:val="0"/>
                <w:sz w:val="18"/>
                <w:szCs w:val="18"/>
                <w:highlight w:val="none"/>
              </w:rPr>
            </w:pP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ascii="宋体" w:hAnsi="宋体" w:cs="宋体"/>
                <w:bCs/>
                <w:color w:val="auto"/>
                <w:kern w:val="0"/>
                <w:sz w:val="18"/>
                <w:szCs w:val="18"/>
                <w:highlight w:val="none"/>
              </w:rPr>
            </w:pP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216、商业服务业等支出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708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708</w:t>
            </w:r>
          </w:p>
        </w:tc>
        <w:tc>
          <w:tcPr>
            <w:tcW w:w="900" w:type="dxa"/>
            <w:tcBorders>
              <w:top w:val="nil"/>
              <w:left w:val="nil"/>
              <w:bottom w:val="single" w:color="auto" w:sz="4" w:space="0"/>
              <w:right w:val="single" w:color="auto" w:sz="4" w:space="0"/>
            </w:tcBorders>
            <w:noWrap/>
            <w:vAlign w:val="center"/>
          </w:tcPr>
          <w:p>
            <w:pPr>
              <w:jc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220、自然资源</w:t>
            </w:r>
            <w:r>
              <w:rPr>
                <w:rFonts w:ascii="宋体" w:hAnsi="宋体" w:cs="宋体"/>
                <w:color w:val="auto"/>
                <w:kern w:val="0"/>
                <w:sz w:val="18"/>
                <w:szCs w:val="18"/>
                <w:highlight w:val="none"/>
              </w:rPr>
              <w:t>海洋气象等支出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2434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2434</w:t>
            </w:r>
          </w:p>
        </w:tc>
        <w:tc>
          <w:tcPr>
            <w:tcW w:w="900" w:type="dxa"/>
            <w:tcBorders>
              <w:top w:val="nil"/>
              <w:left w:val="nil"/>
              <w:bottom w:val="single" w:color="auto" w:sz="4" w:space="0"/>
              <w:right w:val="single" w:color="auto" w:sz="4" w:space="0"/>
            </w:tcBorders>
            <w:noWrap/>
            <w:vAlign w:val="center"/>
          </w:tcPr>
          <w:p>
            <w:pPr>
              <w:jc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1080"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221、住房保障支出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4047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4047</w:t>
            </w:r>
          </w:p>
        </w:tc>
        <w:tc>
          <w:tcPr>
            <w:tcW w:w="900" w:type="dxa"/>
            <w:tcBorders>
              <w:top w:val="nil"/>
              <w:left w:val="nil"/>
              <w:bottom w:val="single" w:color="auto" w:sz="4" w:space="0"/>
              <w:right w:val="single" w:color="auto" w:sz="4" w:space="0"/>
            </w:tcBorders>
            <w:noWrap/>
            <w:vAlign w:val="center"/>
          </w:tcPr>
          <w:p>
            <w:pPr>
              <w:jc w:val="center"/>
              <w:rPr>
                <w:rFonts w:hint="eastAsia" w:ascii="宋体" w:hAnsi="宋体" w:cs="宋体"/>
                <w:bCs/>
                <w:color w:val="auto"/>
                <w:kern w:val="0"/>
                <w:sz w:val="18"/>
                <w:szCs w:val="18"/>
                <w:highlight w:val="none"/>
                <w:lang w:val="en-US" w:eastAsia="zh-CN"/>
              </w:rPr>
            </w:pPr>
          </w:p>
        </w:tc>
      </w:tr>
      <w:tr>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1080"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222、粮油物资储备支出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207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207</w:t>
            </w:r>
          </w:p>
        </w:tc>
        <w:tc>
          <w:tcPr>
            <w:tcW w:w="900" w:type="dxa"/>
            <w:tcBorders>
              <w:top w:val="nil"/>
              <w:left w:val="nil"/>
              <w:bottom w:val="single" w:color="auto" w:sz="4" w:space="0"/>
              <w:right w:val="single" w:color="auto" w:sz="4" w:space="0"/>
            </w:tcBorders>
            <w:noWrap/>
            <w:vAlign w:val="center"/>
          </w:tcPr>
          <w:p>
            <w:pPr>
              <w:jc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p>
        </w:tc>
        <w:tc>
          <w:tcPr>
            <w:tcW w:w="1080"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w:t>
            </w:r>
            <w:r>
              <w:rPr>
                <w:rFonts w:ascii="宋体" w:hAnsi="宋体" w:cs="宋体"/>
                <w:color w:val="auto"/>
                <w:kern w:val="0"/>
                <w:sz w:val="18"/>
                <w:szCs w:val="18"/>
                <w:highlight w:val="none"/>
              </w:rPr>
              <w:t>24、灾害防治及应急管理</w:t>
            </w:r>
            <w:r>
              <w:rPr>
                <w:rFonts w:hint="eastAsia" w:ascii="宋体" w:hAnsi="宋体" w:cs="宋体"/>
                <w:color w:val="auto"/>
                <w:kern w:val="0"/>
                <w:sz w:val="18"/>
                <w:szCs w:val="18"/>
                <w:highlight w:val="none"/>
              </w:rPr>
              <w:t>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2295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2240</w:t>
            </w: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55</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1080"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227、预备费</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3360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3000</w:t>
            </w: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360</w:t>
            </w: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1080"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w:t>
            </w:r>
            <w:r>
              <w:rPr>
                <w:rFonts w:ascii="宋体" w:hAnsi="宋体" w:cs="宋体"/>
                <w:color w:val="auto"/>
                <w:kern w:val="0"/>
                <w:sz w:val="18"/>
                <w:szCs w:val="18"/>
                <w:highlight w:val="none"/>
              </w:rPr>
              <w:t>29</w:t>
            </w:r>
            <w:r>
              <w:rPr>
                <w:rFonts w:hint="eastAsia" w:ascii="宋体" w:hAnsi="宋体" w:cs="宋体"/>
                <w:color w:val="auto"/>
                <w:kern w:val="0"/>
                <w:sz w:val="18"/>
                <w:szCs w:val="18"/>
                <w:highlight w:val="none"/>
              </w:rPr>
              <w:t>、其他</w:t>
            </w:r>
            <w:r>
              <w:rPr>
                <w:rFonts w:ascii="宋体" w:hAnsi="宋体" w:cs="宋体"/>
                <w:color w:val="auto"/>
                <w:kern w:val="0"/>
                <w:sz w:val="18"/>
                <w:szCs w:val="18"/>
                <w:highlight w:val="none"/>
              </w:rPr>
              <w:t>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p>
        </w:tc>
      </w:tr>
      <w:tr>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1080"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232、债务付息支出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eastAsia="宋体" w:cs="宋体"/>
                <w:i w:val="0"/>
                <w:iCs w:val="0"/>
                <w:color w:val="auto"/>
                <w:kern w:val="0"/>
                <w:sz w:val="18"/>
                <w:szCs w:val="18"/>
                <w:highlight w:val="none"/>
                <w:u w:val="none"/>
                <w:lang w:val="en-US" w:eastAsia="zh-CN" w:bidi="ar"/>
              </w:rPr>
              <w:t xml:space="preserve">6900 </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6900</w:t>
            </w:r>
          </w:p>
        </w:tc>
        <w:tc>
          <w:tcPr>
            <w:tcW w:w="90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1080"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二、债务还本支出</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14506</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14506</w:t>
            </w:r>
          </w:p>
        </w:tc>
        <w:tc>
          <w:tcPr>
            <w:tcW w:w="90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1080"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三、上解支出</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15546</w:t>
            </w:r>
          </w:p>
        </w:tc>
        <w:tc>
          <w:tcPr>
            <w:tcW w:w="1080"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default"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15546</w:t>
            </w:r>
          </w:p>
        </w:tc>
        <w:tc>
          <w:tcPr>
            <w:tcW w:w="90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1080"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2615" w:type="dxa"/>
            <w:tcBorders>
              <w:top w:val="nil"/>
              <w:left w:val="nil"/>
              <w:bottom w:val="single" w:color="auto" w:sz="4" w:space="0"/>
              <w:right w:val="single" w:color="auto" w:sz="4" w:space="0"/>
            </w:tcBorders>
            <w:noWrap/>
            <w:vAlign w:val="center"/>
          </w:tcPr>
          <w:p>
            <w:pPr>
              <w:widowControl/>
              <w:spacing w:line="220" w:lineRule="exact"/>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bCs/>
                <w:color w:val="auto"/>
                <w:kern w:val="0"/>
                <w:sz w:val="18"/>
                <w:szCs w:val="18"/>
                <w:highlight w:val="none"/>
                <w:lang w:val="en-US" w:eastAsia="zh-CN"/>
              </w:rPr>
            </w:pP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bCs/>
                <w:color w:val="auto"/>
                <w:kern w:val="0"/>
                <w:sz w:val="18"/>
                <w:szCs w:val="18"/>
                <w:highlight w:val="none"/>
                <w:lang w:val="en-US" w:eastAsia="zh-CN"/>
              </w:rPr>
            </w:pPr>
          </w:p>
        </w:tc>
        <w:tc>
          <w:tcPr>
            <w:tcW w:w="900" w:type="dxa"/>
            <w:tcBorders>
              <w:top w:val="nil"/>
              <w:left w:val="nil"/>
              <w:bottom w:val="single" w:color="auto" w:sz="4" w:space="0"/>
              <w:right w:val="single" w:color="auto" w:sz="4" w:space="0"/>
            </w:tcBorders>
            <w:noWrap/>
            <w:vAlign w:val="center"/>
          </w:tcPr>
          <w:p>
            <w:pPr>
              <w:widowControl/>
              <w:spacing w:line="220" w:lineRule="exact"/>
              <w:jc w:val="center"/>
              <w:rPr>
                <w:rFonts w:hint="eastAsia" w:ascii="宋体" w:hAnsi="宋体" w:cs="宋体"/>
                <w:bCs/>
                <w:color w:val="auto"/>
                <w:kern w:val="0"/>
                <w:sz w:val="18"/>
                <w:szCs w:val="18"/>
                <w:highlight w:val="none"/>
                <w:lang w:val="en-US" w:eastAsia="zh-CN"/>
              </w:rPr>
            </w:pPr>
          </w:p>
        </w:tc>
      </w:tr>
      <w:tr>
        <w:tblPrEx>
          <w:tblCellMar>
            <w:top w:w="0" w:type="dxa"/>
            <w:left w:w="108" w:type="dxa"/>
            <w:bottom w:w="0" w:type="dxa"/>
            <w:right w:w="108" w:type="dxa"/>
          </w:tblCellMar>
        </w:tblPrEx>
        <w:trPr>
          <w:trHeight w:val="397" w:hRule="atLeast"/>
        </w:trPr>
        <w:tc>
          <w:tcPr>
            <w:tcW w:w="2620" w:type="dxa"/>
            <w:tcBorders>
              <w:top w:val="nil"/>
              <w:left w:val="single" w:color="auto" w:sz="4" w:space="0"/>
              <w:bottom w:val="single" w:color="auto" w:sz="4" w:space="0"/>
              <w:right w:val="single" w:color="auto" w:sz="4" w:space="0"/>
            </w:tcBorders>
            <w:noWrap/>
            <w:vAlign w:val="center"/>
          </w:tcPr>
          <w:p>
            <w:pPr>
              <w:widowControl/>
              <w:spacing w:line="22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收入合计</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eastAsia="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344141</w:t>
            </w:r>
          </w:p>
        </w:tc>
        <w:tc>
          <w:tcPr>
            <w:tcW w:w="2615" w:type="dxa"/>
            <w:tcBorders>
              <w:top w:val="nil"/>
              <w:left w:val="nil"/>
              <w:bottom w:val="single" w:color="auto" w:sz="4" w:space="0"/>
              <w:right w:val="single" w:color="auto" w:sz="4" w:space="0"/>
            </w:tcBorders>
            <w:noWrap/>
            <w:vAlign w:val="center"/>
          </w:tcPr>
          <w:p>
            <w:pPr>
              <w:widowControl/>
              <w:spacing w:line="22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支出合计</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344141</w:t>
            </w:r>
          </w:p>
        </w:tc>
        <w:tc>
          <w:tcPr>
            <w:tcW w:w="108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313336</w:t>
            </w:r>
          </w:p>
        </w:tc>
        <w:tc>
          <w:tcPr>
            <w:tcW w:w="900" w:type="dxa"/>
            <w:tcBorders>
              <w:top w:val="nil"/>
              <w:left w:val="nil"/>
              <w:bottom w:val="single" w:color="auto" w:sz="4" w:space="0"/>
              <w:right w:val="single" w:color="auto" w:sz="4" w:space="0"/>
            </w:tcBorders>
            <w:noWrap/>
            <w:vAlign w:val="center"/>
          </w:tcPr>
          <w:p>
            <w:pPr>
              <w:widowControl/>
              <w:spacing w:line="220" w:lineRule="exact"/>
              <w:jc w:val="center"/>
              <w:rPr>
                <w:rFonts w:hint="default" w:ascii="宋体" w:hAnsi="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30805</w:t>
            </w:r>
          </w:p>
        </w:tc>
      </w:tr>
    </w:tbl>
    <w:p>
      <w:pPr>
        <w:rPr>
          <w:rFonts w:hint="eastAsia" w:ascii="黑体" w:hAnsi="黑体" w:eastAsia="黑体" w:cs="宋体"/>
          <w:color w:val="auto"/>
          <w:kern w:val="0"/>
          <w:sz w:val="32"/>
          <w:szCs w:val="32"/>
          <w:highlight w:val="none"/>
          <w:lang w:eastAsia="zh-CN"/>
        </w:rPr>
      </w:pPr>
      <w:r>
        <w:rPr>
          <w:rFonts w:hint="eastAsia" w:ascii="黑体" w:hAnsi="黑体" w:eastAsia="黑体" w:cs="宋体"/>
          <w:color w:val="auto"/>
          <w:kern w:val="0"/>
          <w:sz w:val="36"/>
          <w:szCs w:val="36"/>
          <w:highlight w:val="none"/>
          <w:lang w:val="en-US" w:eastAsia="zh-CN"/>
        </w:rPr>
        <w:t>附件3</w:t>
      </w:r>
      <w:r>
        <w:rPr>
          <w:rFonts w:hint="eastAsia" w:ascii="黑体" w:hAnsi="黑体" w:eastAsia="黑体" w:cs="宋体"/>
          <w:color w:val="auto"/>
          <w:kern w:val="0"/>
          <w:sz w:val="36"/>
          <w:szCs w:val="36"/>
          <w:highlight w:val="none"/>
        </w:rPr>
        <w:t>-0</w:t>
      </w:r>
      <w:r>
        <w:rPr>
          <w:rFonts w:hint="eastAsia" w:ascii="黑体" w:hAnsi="黑体" w:eastAsia="黑体" w:cs="宋体"/>
          <w:color w:val="auto"/>
          <w:kern w:val="0"/>
          <w:sz w:val="36"/>
          <w:szCs w:val="36"/>
          <w:highlight w:val="none"/>
          <w:lang w:val="en-US" w:eastAsia="zh-CN"/>
        </w:rPr>
        <w:t>2</w:t>
      </w:r>
    </w:p>
    <w:p>
      <w:pPr>
        <w:spacing w:line="400" w:lineRule="exact"/>
        <w:jc w:val="center"/>
        <w:rPr>
          <w:rFonts w:ascii="方正小标宋简体" w:hAnsi="宋体" w:eastAsia="方正小标宋简体" w:cs="宋体"/>
          <w:color w:val="auto"/>
          <w:sz w:val="36"/>
          <w:szCs w:val="36"/>
          <w:highlight w:val="none"/>
        </w:rPr>
      </w:pPr>
      <w:r>
        <w:rPr>
          <w:rFonts w:hint="eastAsia" w:ascii="方正小标宋简体" w:eastAsia="方正小标宋简体"/>
          <w:color w:val="auto"/>
          <w:sz w:val="36"/>
          <w:szCs w:val="36"/>
          <w:highlight w:val="none"/>
        </w:rPr>
        <w:t>202</w:t>
      </w:r>
      <w:r>
        <w:rPr>
          <w:rFonts w:hint="eastAsia" w:ascii="方正小标宋简体" w:eastAsia="方正小标宋简体"/>
          <w:color w:val="auto"/>
          <w:sz w:val="36"/>
          <w:szCs w:val="36"/>
          <w:highlight w:val="none"/>
          <w:lang w:val="en-US" w:eastAsia="zh-CN"/>
        </w:rPr>
        <w:t>2</w:t>
      </w:r>
      <w:r>
        <w:rPr>
          <w:rFonts w:hint="eastAsia" w:ascii="方正小标宋简体" w:eastAsia="方正小标宋简体"/>
          <w:color w:val="auto"/>
          <w:sz w:val="36"/>
          <w:szCs w:val="36"/>
          <w:highlight w:val="none"/>
        </w:rPr>
        <w:t>年政府性基金预算（草案）计划表</w:t>
      </w:r>
    </w:p>
    <w:p>
      <w:pPr>
        <w:spacing w:line="300" w:lineRule="exact"/>
        <w:rPr>
          <w:rFonts w:ascii="宋体" w:hAnsi="宋体" w:cs="宋体"/>
          <w:color w:val="auto"/>
          <w:sz w:val="24"/>
          <w:highlight w:val="none"/>
        </w:rPr>
      </w:pPr>
      <w:r>
        <w:rPr>
          <w:rFonts w:hint="eastAsia" w:ascii="仿宋_GB2312" w:hAnsi="宋体" w:eastAsia="仿宋_GB2312" w:cs="宋体"/>
          <w:color w:val="auto"/>
          <w:kern w:val="0"/>
          <w:sz w:val="32"/>
          <w:szCs w:val="32"/>
          <w:highlight w:val="none"/>
        </w:rPr>
        <w:t xml:space="preserve">                                              </w:t>
      </w:r>
      <w:r>
        <w:rPr>
          <w:rFonts w:hint="eastAsia"/>
          <w:color w:val="auto"/>
          <w:highlight w:val="none"/>
        </w:rPr>
        <w:t>单位：万元</w:t>
      </w:r>
    </w:p>
    <w:tbl>
      <w:tblPr>
        <w:tblStyle w:val="11"/>
        <w:tblW w:w="9375" w:type="dxa"/>
        <w:tblInd w:w="93" w:type="dxa"/>
        <w:tblLayout w:type="autofit"/>
        <w:tblCellMar>
          <w:top w:w="0" w:type="dxa"/>
          <w:left w:w="108" w:type="dxa"/>
          <w:bottom w:w="0" w:type="dxa"/>
          <w:right w:w="108" w:type="dxa"/>
        </w:tblCellMar>
      </w:tblPr>
      <w:tblGrid>
        <w:gridCol w:w="3240"/>
        <w:gridCol w:w="1420"/>
        <w:gridCol w:w="3275"/>
        <w:gridCol w:w="1440"/>
      </w:tblGrid>
      <w:tr>
        <w:tblPrEx>
          <w:tblCellMar>
            <w:top w:w="0" w:type="dxa"/>
            <w:left w:w="108" w:type="dxa"/>
            <w:bottom w:w="0" w:type="dxa"/>
            <w:right w:w="108" w:type="dxa"/>
          </w:tblCellMar>
        </w:tblPrEx>
        <w:trPr>
          <w:trHeight w:val="447" w:hRule="atLeast"/>
        </w:trPr>
        <w:tc>
          <w:tcPr>
            <w:tcW w:w="466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cs="宋体"/>
                <w:b/>
                <w:bCs/>
                <w:color w:val="auto"/>
                <w:kern w:val="0"/>
                <w:sz w:val="28"/>
                <w:szCs w:val="28"/>
                <w:highlight w:val="none"/>
              </w:rPr>
            </w:pPr>
            <w:r>
              <w:rPr>
                <w:rFonts w:hint="eastAsia" w:ascii="宋体" w:hAnsi="宋体" w:cs="宋体"/>
                <w:b/>
                <w:bCs/>
                <w:color w:val="auto"/>
                <w:kern w:val="0"/>
                <w:sz w:val="28"/>
                <w:szCs w:val="28"/>
                <w:highlight w:val="none"/>
              </w:rPr>
              <w:t>收 入 预 算</w:t>
            </w:r>
          </w:p>
        </w:tc>
        <w:tc>
          <w:tcPr>
            <w:tcW w:w="4715" w:type="dxa"/>
            <w:gridSpan w:val="2"/>
            <w:tcBorders>
              <w:top w:val="single" w:color="auto" w:sz="4" w:space="0"/>
              <w:left w:val="nil"/>
              <w:bottom w:val="single" w:color="auto" w:sz="4" w:space="0"/>
              <w:right w:val="single" w:color="auto" w:sz="4" w:space="0"/>
            </w:tcBorders>
            <w:noWrap/>
            <w:vAlign w:val="center"/>
          </w:tcPr>
          <w:p>
            <w:pPr>
              <w:widowControl/>
              <w:spacing w:line="300" w:lineRule="exact"/>
              <w:jc w:val="center"/>
              <w:rPr>
                <w:rFonts w:ascii="宋体" w:hAnsi="宋体" w:cs="宋体"/>
                <w:b/>
                <w:bCs/>
                <w:color w:val="auto"/>
                <w:kern w:val="0"/>
                <w:sz w:val="28"/>
                <w:szCs w:val="28"/>
                <w:highlight w:val="none"/>
              </w:rPr>
            </w:pPr>
            <w:r>
              <w:rPr>
                <w:rFonts w:hint="eastAsia" w:ascii="宋体" w:hAnsi="宋体" w:cs="宋体"/>
                <w:b/>
                <w:bCs/>
                <w:color w:val="auto"/>
                <w:kern w:val="0"/>
                <w:sz w:val="28"/>
                <w:szCs w:val="28"/>
                <w:highlight w:val="none"/>
              </w:rPr>
              <w:t>支 出 预 算</w:t>
            </w:r>
          </w:p>
        </w:tc>
      </w:tr>
      <w:tr>
        <w:tblPrEx>
          <w:tblCellMar>
            <w:top w:w="0" w:type="dxa"/>
            <w:left w:w="108" w:type="dxa"/>
            <w:bottom w:w="0" w:type="dxa"/>
            <w:right w:w="108" w:type="dxa"/>
          </w:tblCellMar>
        </w:tblPrEx>
        <w:trPr>
          <w:trHeight w:val="427" w:hRule="atLeast"/>
        </w:trPr>
        <w:tc>
          <w:tcPr>
            <w:tcW w:w="3240" w:type="dxa"/>
            <w:tcBorders>
              <w:top w:val="nil"/>
              <w:left w:val="single" w:color="auto" w:sz="4" w:space="0"/>
              <w:bottom w:val="single" w:color="auto" w:sz="4" w:space="0"/>
              <w:right w:val="single" w:color="auto" w:sz="4" w:space="0"/>
            </w:tcBorders>
            <w:noWrap w:val="0"/>
            <w:vAlign w:val="center"/>
          </w:tcPr>
          <w:p>
            <w:pPr>
              <w:widowControl/>
              <w:spacing w:line="30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项    目</w:t>
            </w:r>
          </w:p>
        </w:tc>
        <w:tc>
          <w:tcPr>
            <w:tcW w:w="1420"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金    额</w:t>
            </w:r>
          </w:p>
        </w:tc>
        <w:tc>
          <w:tcPr>
            <w:tcW w:w="3275" w:type="dxa"/>
            <w:tcBorders>
              <w:top w:val="nil"/>
              <w:left w:val="nil"/>
              <w:bottom w:val="single" w:color="auto" w:sz="4" w:space="0"/>
              <w:right w:val="single" w:color="auto" w:sz="4" w:space="0"/>
            </w:tcBorders>
            <w:noWrap w:val="0"/>
            <w:vAlign w:val="center"/>
          </w:tcPr>
          <w:p>
            <w:pPr>
              <w:widowControl/>
              <w:spacing w:line="300" w:lineRule="exact"/>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项    目</w:t>
            </w:r>
          </w:p>
        </w:tc>
        <w:tc>
          <w:tcPr>
            <w:tcW w:w="1440" w:type="dxa"/>
            <w:tcBorders>
              <w:top w:val="nil"/>
              <w:left w:val="nil"/>
              <w:bottom w:val="single" w:color="auto" w:sz="4" w:space="0"/>
              <w:right w:val="single" w:color="auto" w:sz="4" w:space="0"/>
            </w:tcBorders>
            <w:noWrap w:val="0"/>
            <w:vAlign w:val="center"/>
          </w:tcPr>
          <w:p>
            <w:pPr>
              <w:widowControl/>
              <w:spacing w:line="300" w:lineRule="exact"/>
              <w:jc w:val="left"/>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金    额</w:t>
            </w:r>
          </w:p>
        </w:tc>
      </w:tr>
      <w:tr>
        <w:tblPrEx>
          <w:tblCellMar>
            <w:top w:w="0" w:type="dxa"/>
            <w:left w:w="108" w:type="dxa"/>
            <w:bottom w:w="0" w:type="dxa"/>
            <w:right w:w="108" w:type="dxa"/>
          </w:tblCellMar>
        </w:tblPrEx>
        <w:trPr>
          <w:trHeight w:val="499" w:hRule="atLeast"/>
        </w:trPr>
        <w:tc>
          <w:tcPr>
            <w:tcW w:w="3240"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eastAsia="宋体"/>
                <w:color w:val="auto"/>
                <w:kern w:val="0"/>
                <w:sz w:val="18"/>
                <w:szCs w:val="18"/>
                <w:highlight w:val="none"/>
              </w:rPr>
            </w:pPr>
            <w:r>
              <w:rPr>
                <w:rFonts w:hint="eastAsia" w:ascii="宋体" w:hAnsi="宋体" w:eastAsia="宋体"/>
                <w:color w:val="auto"/>
                <w:sz w:val="18"/>
                <w:szCs w:val="18"/>
                <w:highlight w:val="none"/>
              </w:rPr>
              <w:t>一、本级收入</w:t>
            </w:r>
          </w:p>
        </w:tc>
        <w:tc>
          <w:tcPr>
            <w:tcW w:w="1420" w:type="dxa"/>
            <w:tcBorders>
              <w:top w:val="single" w:color="auto" w:sz="4" w:space="0"/>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75635</w:t>
            </w:r>
          </w:p>
        </w:tc>
        <w:tc>
          <w:tcPr>
            <w:tcW w:w="3275"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eastAsia="宋体"/>
                <w:color w:val="auto"/>
                <w:kern w:val="0"/>
                <w:sz w:val="18"/>
                <w:szCs w:val="18"/>
                <w:highlight w:val="none"/>
              </w:rPr>
            </w:pPr>
            <w:r>
              <w:rPr>
                <w:rFonts w:hint="eastAsia" w:ascii="宋体" w:hAnsi="宋体" w:eastAsia="宋体"/>
                <w:color w:val="auto"/>
                <w:sz w:val="18"/>
                <w:szCs w:val="18"/>
                <w:highlight w:val="none"/>
              </w:rPr>
              <w:t>一、政府性基金支出</w:t>
            </w:r>
          </w:p>
        </w:tc>
        <w:tc>
          <w:tcPr>
            <w:tcW w:w="1440" w:type="dxa"/>
            <w:tcBorders>
              <w:top w:val="single" w:color="auto" w:sz="4" w:space="0"/>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116580</w:t>
            </w:r>
          </w:p>
        </w:tc>
      </w:tr>
      <w:tr>
        <w:tblPrEx>
          <w:tblCellMar>
            <w:top w:w="0" w:type="dxa"/>
            <w:left w:w="108" w:type="dxa"/>
            <w:bottom w:w="0" w:type="dxa"/>
            <w:right w:w="108" w:type="dxa"/>
          </w:tblCellMar>
        </w:tblPrEx>
        <w:trPr>
          <w:trHeight w:val="499" w:hRule="atLeast"/>
        </w:trPr>
        <w:tc>
          <w:tcPr>
            <w:tcW w:w="3240"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olor w:val="auto"/>
                <w:sz w:val="18"/>
                <w:szCs w:val="18"/>
                <w:highlight w:val="none"/>
              </w:rPr>
            </w:pPr>
            <w:r>
              <w:rPr>
                <w:rFonts w:hint="eastAsia" w:ascii="宋体" w:hAnsi="宋体" w:eastAsia="宋体"/>
                <w:color w:val="auto"/>
                <w:sz w:val="18"/>
                <w:szCs w:val="18"/>
                <w:highlight w:val="none"/>
              </w:rPr>
              <w:t xml:space="preserve">  国有土地收益基金收入</w:t>
            </w:r>
          </w:p>
        </w:tc>
        <w:tc>
          <w:tcPr>
            <w:tcW w:w="1420" w:type="dxa"/>
            <w:tcBorders>
              <w:top w:val="nil"/>
              <w:left w:val="nil"/>
              <w:bottom w:val="single" w:color="auto" w:sz="4" w:space="0"/>
              <w:right w:val="single" w:color="auto" w:sz="4" w:space="0"/>
            </w:tcBorders>
            <w:noWrap/>
            <w:vAlign w:val="center"/>
          </w:tcPr>
          <w:p>
            <w:pPr>
              <w:jc w:val="center"/>
              <w:rPr>
                <w:rFonts w:hint="eastAsia"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4680</w:t>
            </w: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olor w:val="auto"/>
                <w:sz w:val="18"/>
                <w:szCs w:val="18"/>
                <w:highlight w:val="none"/>
              </w:rPr>
            </w:pPr>
            <w:r>
              <w:rPr>
                <w:rFonts w:hint="eastAsia" w:ascii="宋体" w:hAnsi="宋体" w:eastAsia="宋体"/>
                <w:color w:val="auto"/>
                <w:sz w:val="18"/>
                <w:szCs w:val="18"/>
                <w:highlight w:val="none"/>
              </w:rPr>
              <w:t>208、社会保障和就业支出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7196</w:t>
            </w:r>
          </w:p>
        </w:tc>
      </w:tr>
      <w:tr>
        <w:tblPrEx>
          <w:tblCellMar>
            <w:top w:w="0" w:type="dxa"/>
            <w:left w:w="108" w:type="dxa"/>
            <w:bottom w:w="0" w:type="dxa"/>
            <w:right w:w="108" w:type="dxa"/>
          </w:tblCellMar>
        </w:tblPrEx>
        <w:trPr>
          <w:trHeight w:val="499" w:hRule="atLeast"/>
        </w:trPr>
        <w:tc>
          <w:tcPr>
            <w:tcW w:w="3240"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olor w:val="auto"/>
                <w:sz w:val="18"/>
                <w:szCs w:val="18"/>
                <w:highlight w:val="none"/>
              </w:rPr>
            </w:pPr>
            <w:r>
              <w:rPr>
                <w:rFonts w:hint="eastAsia" w:ascii="宋体" w:hAnsi="宋体" w:eastAsia="宋体"/>
                <w:color w:val="auto"/>
                <w:sz w:val="18"/>
                <w:szCs w:val="18"/>
                <w:highlight w:val="none"/>
              </w:rPr>
              <w:t xml:space="preserve">  国有土地使用权出让收入</w:t>
            </w:r>
          </w:p>
        </w:tc>
        <w:tc>
          <w:tcPr>
            <w:tcW w:w="1420" w:type="dxa"/>
            <w:tcBorders>
              <w:top w:val="nil"/>
              <w:left w:val="nil"/>
              <w:bottom w:val="single" w:color="auto" w:sz="4" w:space="0"/>
              <w:right w:val="single" w:color="auto" w:sz="4" w:space="0"/>
            </w:tcBorders>
            <w:noWrap/>
            <w:vAlign w:val="center"/>
          </w:tcPr>
          <w:p>
            <w:pPr>
              <w:jc w:val="center"/>
              <w:rPr>
                <w:rFonts w:hint="eastAsia"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60220</w:t>
            </w: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olor w:val="auto"/>
                <w:sz w:val="18"/>
                <w:szCs w:val="18"/>
                <w:highlight w:val="none"/>
              </w:rPr>
            </w:pPr>
            <w:r>
              <w:rPr>
                <w:rFonts w:hint="eastAsia" w:ascii="宋体" w:hAnsi="宋体" w:eastAsia="宋体"/>
                <w:color w:val="auto"/>
                <w:sz w:val="18"/>
                <w:szCs w:val="18"/>
                <w:highlight w:val="none"/>
              </w:rPr>
              <w:t xml:space="preserve">  大中型水库移民后期扶持基金支出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7196</w:t>
            </w:r>
          </w:p>
        </w:tc>
      </w:tr>
      <w:tr>
        <w:tblPrEx>
          <w:tblCellMar>
            <w:top w:w="0" w:type="dxa"/>
            <w:left w:w="108" w:type="dxa"/>
            <w:bottom w:w="0" w:type="dxa"/>
            <w:right w:w="108" w:type="dxa"/>
          </w:tblCellMar>
        </w:tblPrEx>
        <w:trPr>
          <w:trHeight w:val="499" w:hRule="atLeast"/>
        </w:trPr>
        <w:tc>
          <w:tcPr>
            <w:tcW w:w="3240"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olor w:val="auto"/>
                <w:sz w:val="18"/>
                <w:szCs w:val="18"/>
                <w:highlight w:val="none"/>
              </w:rPr>
            </w:pPr>
            <w:r>
              <w:rPr>
                <w:rFonts w:hint="eastAsia" w:ascii="宋体" w:hAnsi="宋体" w:eastAsia="宋体"/>
                <w:color w:val="auto"/>
                <w:sz w:val="18"/>
                <w:szCs w:val="18"/>
                <w:highlight w:val="none"/>
              </w:rPr>
              <w:t xml:space="preserve">  城市基础设施配套费收入</w:t>
            </w:r>
          </w:p>
        </w:tc>
        <w:tc>
          <w:tcPr>
            <w:tcW w:w="1420" w:type="dxa"/>
            <w:tcBorders>
              <w:top w:val="nil"/>
              <w:left w:val="nil"/>
              <w:bottom w:val="single" w:color="auto" w:sz="4" w:space="0"/>
              <w:right w:val="single" w:color="auto" w:sz="4" w:space="0"/>
            </w:tcBorders>
            <w:noWrap/>
            <w:vAlign w:val="center"/>
          </w:tcPr>
          <w:p>
            <w:pPr>
              <w:jc w:val="center"/>
              <w:rPr>
                <w:rFonts w:hint="eastAsia"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700</w:t>
            </w: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olor w:val="auto"/>
                <w:sz w:val="18"/>
                <w:szCs w:val="18"/>
                <w:highlight w:val="none"/>
              </w:rPr>
            </w:pPr>
            <w:r>
              <w:rPr>
                <w:rFonts w:hint="eastAsia" w:ascii="宋体" w:hAnsi="宋体" w:eastAsia="宋体"/>
                <w:color w:val="auto"/>
                <w:sz w:val="18"/>
                <w:szCs w:val="18"/>
                <w:highlight w:val="none"/>
              </w:rPr>
              <w:t>212、城乡社区支出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45568</w:t>
            </w:r>
          </w:p>
        </w:tc>
      </w:tr>
      <w:tr>
        <w:tblPrEx>
          <w:tblCellMar>
            <w:top w:w="0" w:type="dxa"/>
            <w:left w:w="108" w:type="dxa"/>
            <w:bottom w:w="0" w:type="dxa"/>
            <w:right w:w="108" w:type="dxa"/>
          </w:tblCellMar>
        </w:tblPrEx>
        <w:trPr>
          <w:trHeight w:val="499" w:hRule="atLeast"/>
        </w:trPr>
        <w:tc>
          <w:tcPr>
            <w:tcW w:w="3240"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olor w:val="auto"/>
                <w:sz w:val="18"/>
                <w:szCs w:val="18"/>
                <w:highlight w:val="none"/>
              </w:rPr>
            </w:pPr>
            <w:r>
              <w:rPr>
                <w:rFonts w:hint="eastAsia" w:ascii="宋体" w:hAnsi="宋体" w:eastAsia="宋体"/>
                <w:color w:val="auto"/>
                <w:sz w:val="18"/>
                <w:szCs w:val="18"/>
                <w:highlight w:val="none"/>
              </w:rPr>
              <w:t xml:space="preserve">  污水处理费</w:t>
            </w:r>
          </w:p>
        </w:tc>
        <w:tc>
          <w:tcPr>
            <w:tcW w:w="1420" w:type="dxa"/>
            <w:tcBorders>
              <w:top w:val="nil"/>
              <w:left w:val="nil"/>
              <w:bottom w:val="single" w:color="auto" w:sz="4" w:space="0"/>
              <w:right w:val="single" w:color="auto" w:sz="4" w:space="0"/>
            </w:tcBorders>
            <w:noWrap/>
            <w:vAlign w:val="center"/>
          </w:tcPr>
          <w:p>
            <w:pPr>
              <w:jc w:val="center"/>
              <w:rPr>
                <w:rFonts w:hint="eastAsia"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700</w:t>
            </w: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olor w:val="auto"/>
                <w:sz w:val="18"/>
                <w:szCs w:val="18"/>
                <w:highlight w:val="none"/>
              </w:rPr>
            </w:pPr>
            <w:r>
              <w:rPr>
                <w:rFonts w:hint="eastAsia" w:ascii="宋体" w:hAnsi="宋体" w:eastAsia="宋体"/>
                <w:color w:val="auto"/>
                <w:sz w:val="18"/>
                <w:szCs w:val="18"/>
                <w:highlight w:val="none"/>
              </w:rPr>
              <w:t xml:space="preserve">  国有土地使用权出让收入</w:t>
            </w:r>
            <w:r>
              <w:rPr>
                <w:rFonts w:ascii="宋体" w:hAnsi="宋体" w:eastAsia="宋体"/>
                <w:color w:val="auto"/>
                <w:sz w:val="18"/>
                <w:szCs w:val="18"/>
                <w:highlight w:val="none"/>
              </w:rPr>
              <w:t>安排的</w:t>
            </w:r>
            <w:r>
              <w:rPr>
                <w:rFonts w:hint="eastAsia" w:ascii="宋体" w:hAnsi="宋体" w:eastAsia="宋体"/>
                <w:color w:val="auto"/>
                <w:sz w:val="18"/>
                <w:szCs w:val="18"/>
                <w:highlight w:val="none"/>
              </w:rPr>
              <w:t>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43206</w:t>
            </w:r>
          </w:p>
        </w:tc>
      </w:tr>
      <w:tr>
        <w:tblPrEx>
          <w:tblCellMar>
            <w:top w:w="0" w:type="dxa"/>
            <w:left w:w="108" w:type="dxa"/>
            <w:bottom w:w="0" w:type="dxa"/>
            <w:right w:w="108" w:type="dxa"/>
          </w:tblCellMar>
        </w:tblPrEx>
        <w:trPr>
          <w:trHeight w:val="499" w:hRule="atLeast"/>
        </w:trPr>
        <w:tc>
          <w:tcPr>
            <w:tcW w:w="3240"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olor w:val="auto"/>
                <w:sz w:val="18"/>
                <w:szCs w:val="18"/>
                <w:highlight w:val="none"/>
              </w:rPr>
            </w:pPr>
            <w:r>
              <w:rPr>
                <w:rFonts w:hint="eastAsia" w:ascii="宋体" w:hAnsi="宋体" w:eastAsia="宋体"/>
                <w:color w:val="auto"/>
                <w:sz w:val="18"/>
                <w:szCs w:val="18"/>
                <w:highlight w:val="none"/>
              </w:rPr>
              <w:t xml:space="preserve">  车辆通行费</w:t>
            </w:r>
          </w:p>
        </w:tc>
        <w:tc>
          <w:tcPr>
            <w:tcW w:w="1420" w:type="dxa"/>
            <w:tcBorders>
              <w:top w:val="nil"/>
              <w:left w:val="nil"/>
              <w:bottom w:val="single" w:color="auto" w:sz="4" w:space="0"/>
              <w:right w:val="single" w:color="auto" w:sz="4" w:space="0"/>
            </w:tcBorders>
            <w:noWrap/>
            <w:vAlign w:val="center"/>
          </w:tcPr>
          <w:p>
            <w:pPr>
              <w:jc w:val="center"/>
              <w:rPr>
                <w:rFonts w:hint="eastAsia"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1500</w:t>
            </w: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rPr>
              <w:t xml:space="preserve">  城市基础设施配套费安排</w:t>
            </w:r>
            <w:r>
              <w:rPr>
                <w:rFonts w:ascii="宋体" w:hAnsi="宋体" w:eastAsia="宋体"/>
                <w:color w:val="auto"/>
                <w:sz w:val="18"/>
                <w:szCs w:val="18"/>
                <w:highlight w:val="none"/>
              </w:rPr>
              <w:t>的</w:t>
            </w:r>
            <w:r>
              <w:rPr>
                <w:rFonts w:hint="eastAsia" w:ascii="宋体" w:hAnsi="宋体" w:eastAsia="宋体"/>
                <w:color w:val="auto"/>
                <w:sz w:val="18"/>
                <w:szCs w:val="18"/>
                <w:highlight w:val="none"/>
              </w:rPr>
              <w:t>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lang w:val="en-US" w:eastAsia="zh-CN"/>
              </w:rPr>
              <w:t>1167</w:t>
            </w:r>
          </w:p>
        </w:tc>
      </w:tr>
      <w:tr>
        <w:tblPrEx>
          <w:tblCellMar>
            <w:top w:w="0" w:type="dxa"/>
            <w:left w:w="108" w:type="dxa"/>
            <w:bottom w:w="0" w:type="dxa"/>
            <w:right w:w="108" w:type="dxa"/>
          </w:tblCellMar>
        </w:tblPrEx>
        <w:trPr>
          <w:trHeight w:val="499" w:hRule="atLeast"/>
        </w:trPr>
        <w:tc>
          <w:tcPr>
            <w:tcW w:w="324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olor w:val="auto"/>
                <w:kern w:val="0"/>
                <w:sz w:val="18"/>
                <w:szCs w:val="18"/>
                <w:highlight w:val="none"/>
              </w:rPr>
            </w:pPr>
            <w:r>
              <w:rPr>
                <w:rFonts w:hint="eastAsia" w:ascii="宋体" w:hAnsi="宋体" w:eastAsia="宋体"/>
                <w:color w:val="auto"/>
                <w:kern w:val="0"/>
                <w:sz w:val="18"/>
                <w:szCs w:val="18"/>
                <w:highlight w:val="none"/>
              </w:rPr>
              <w:t xml:space="preserve">  专项</w:t>
            </w:r>
            <w:r>
              <w:rPr>
                <w:rFonts w:ascii="宋体" w:hAnsi="宋体" w:eastAsia="宋体"/>
                <w:color w:val="auto"/>
                <w:kern w:val="0"/>
                <w:sz w:val="18"/>
                <w:szCs w:val="18"/>
                <w:highlight w:val="none"/>
              </w:rPr>
              <w:t>债务对应</w:t>
            </w:r>
            <w:r>
              <w:rPr>
                <w:rFonts w:hint="eastAsia" w:ascii="宋体" w:hAnsi="宋体" w:eastAsia="宋体"/>
                <w:color w:val="auto"/>
                <w:kern w:val="0"/>
                <w:sz w:val="18"/>
                <w:szCs w:val="18"/>
                <w:highlight w:val="none"/>
              </w:rPr>
              <w:t>项目</w:t>
            </w:r>
            <w:r>
              <w:rPr>
                <w:rFonts w:ascii="宋体" w:hAnsi="宋体" w:eastAsia="宋体"/>
                <w:color w:val="auto"/>
                <w:kern w:val="0"/>
                <w:sz w:val="18"/>
                <w:szCs w:val="18"/>
                <w:highlight w:val="none"/>
              </w:rPr>
              <w:t>专项收入</w:t>
            </w:r>
          </w:p>
        </w:tc>
        <w:tc>
          <w:tcPr>
            <w:tcW w:w="1420" w:type="dxa"/>
            <w:tcBorders>
              <w:top w:val="single" w:color="auto" w:sz="4" w:space="0"/>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7835</w:t>
            </w: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rPr>
              <w:t xml:space="preserve">  污水处理费安排的支出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lang w:val="en-US" w:eastAsia="zh-CN"/>
              </w:rPr>
              <w:t>1195</w:t>
            </w:r>
          </w:p>
        </w:tc>
      </w:tr>
      <w:tr>
        <w:tblPrEx>
          <w:tblCellMar>
            <w:top w:w="0" w:type="dxa"/>
            <w:left w:w="108" w:type="dxa"/>
            <w:bottom w:w="0" w:type="dxa"/>
            <w:right w:w="108" w:type="dxa"/>
          </w:tblCellMar>
        </w:tblPrEx>
        <w:trPr>
          <w:trHeight w:val="499" w:hRule="atLeast"/>
        </w:trPr>
        <w:tc>
          <w:tcPr>
            <w:tcW w:w="3240" w:type="dxa"/>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w:t>
            </w:r>
          </w:p>
        </w:tc>
        <w:tc>
          <w:tcPr>
            <w:tcW w:w="1420" w:type="dxa"/>
            <w:tcBorders>
              <w:top w:val="nil"/>
              <w:left w:val="nil"/>
              <w:bottom w:val="single" w:color="auto" w:sz="4" w:space="0"/>
              <w:right w:val="single" w:color="auto" w:sz="4" w:space="0"/>
            </w:tcBorders>
            <w:noWrap/>
            <w:vAlign w:val="center"/>
          </w:tcPr>
          <w:p>
            <w:pPr>
              <w:jc w:val="center"/>
              <w:rPr>
                <w:rFonts w:hint="eastAsia" w:ascii="宋体" w:hAnsi="宋体" w:eastAsia="宋体"/>
                <w:color w:val="auto"/>
                <w:sz w:val="18"/>
                <w:szCs w:val="18"/>
                <w:highlight w:val="none"/>
                <w:lang w:val="en-US" w:eastAsia="zh-CN"/>
              </w:rPr>
            </w:pP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rPr>
              <w:t>213、农林水支出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lang w:val="en-US" w:eastAsia="zh-CN"/>
              </w:rPr>
              <w:t>53096</w:t>
            </w:r>
          </w:p>
        </w:tc>
      </w:tr>
      <w:tr>
        <w:tblPrEx>
          <w:tblCellMar>
            <w:top w:w="0" w:type="dxa"/>
            <w:left w:w="108" w:type="dxa"/>
            <w:bottom w:w="0" w:type="dxa"/>
            <w:right w:w="108" w:type="dxa"/>
          </w:tblCellMar>
        </w:tblPrEx>
        <w:trPr>
          <w:trHeight w:val="499" w:hRule="atLeast"/>
        </w:trPr>
        <w:tc>
          <w:tcPr>
            <w:tcW w:w="3240"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eastAsia="宋体"/>
                <w:color w:val="auto"/>
                <w:kern w:val="0"/>
                <w:sz w:val="18"/>
                <w:szCs w:val="18"/>
                <w:highlight w:val="none"/>
              </w:rPr>
            </w:pPr>
            <w:r>
              <w:rPr>
                <w:rFonts w:hint="eastAsia" w:ascii="宋体" w:hAnsi="宋体" w:eastAsia="宋体"/>
                <w:color w:val="auto"/>
                <w:sz w:val="18"/>
                <w:szCs w:val="18"/>
                <w:highlight w:val="none"/>
              </w:rPr>
              <w:t>二、转移性收入</w:t>
            </w:r>
          </w:p>
        </w:tc>
        <w:tc>
          <w:tcPr>
            <w:tcW w:w="1420" w:type="dxa"/>
            <w:tcBorders>
              <w:top w:val="single" w:color="auto" w:sz="4" w:space="0"/>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95897</w:t>
            </w: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rPr>
              <w:t xml:space="preserve">  三峡水库</w:t>
            </w:r>
            <w:r>
              <w:rPr>
                <w:rFonts w:ascii="宋体" w:hAnsi="宋体" w:eastAsia="宋体"/>
                <w:color w:val="auto"/>
                <w:sz w:val="18"/>
                <w:szCs w:val="18"/>
                <w:highlight w:val="none"/>
              </w:rPr>
              <w:t>库区基金支出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lang w:val="en-US" w:eastAsia="zh-CN"/>
              </w:rPr>
              <w:t>3068</w:t>
            </w:r>
          </w:p>
        </w:tc>
      </w:tr>
      <w:tr>
        <w:tblPrEx>
          <w:tblCellMar>
            <w:top w:w="0" w:type="dxa"/>
            <w:left w:w="108" w:type="dxa"/>
            <w:bottom w:w="0" w:type="dxa"/>
            <w:right w:w="108" w:type="dxa"/>
          </w:tblCellMar>
        </w:tblPrEx>
        <w:trPr>
          <w:trHeight w:val="499" w:hRule="atLeast"/>
        </w:trPr>
        <w:tc>
          <w:tcPr>
            <w:tcW w:w="3240" w:type="dxa"/>
            <w:tcBorders>
              <w:top w:val="nil"/>
              <w:left w:val="single" w:color="auto" w:sz="4" w:space="0"/>
              <w:bottom w:val="single" w:color="auto" w:sz="4" w:space="0"/>
              <w:right w:val="single" w:color="auto" w:sz="4" w:space="0"/>
            </w:tcBorders>
            <w:noWrap/>
            <w:vAlign w:val="center"/>
          </w:tcPr>
          <w:p>
            <w:pPr>
              <w:jc w:val="left"/>
              <w:rPr>
                <w:rFonts w:ascii="宋体" w:hAnsi="宋体" w:eastAsia="宋体"/>
                <w:color w:val="auto"/>
                <w:sz w:val="18"/>
                <w:szCs w:val="18"/>
                <w:highlight w:val="none"/>
              </w:rPr>
            </w:pPr>
            <w:r>
              <w:rPr>
                <w:rFonts w:hint="eastAsia" w:ascii="宋体" w:hAnsi="宋体" w:eastAsia="宋体"/>
                <w:color w:val="auto"/>
                <w:sz w:val="18"/>
                <w:szCs w:val="18"/>
                <w:highlight w:val="none"/>
              </w:rPr>
              <w:t xml:space="preserve"> （一）上年结转结余</w:t>
            </w:r>
          </w:p>
        </w:tc>
        <w:tc>
          <w:tcPr>
            <w:tcW w:w="1420"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color w:val="auto"/>
                <w:sz w:val="18"/>
                <w:szCs w:val="18"/>
                <w:highlight w:val="none"/>
                <w:lang w:val="en-US" w:eastAsia="zh-CN"/>
              </w:rPr>
              <w:t>23628</w:t>
            </w: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rPr>
              <w:t xml:space="preserve">  国家重大水利工程建设基金安排</w:t>
            </w:r>
            <w:r>
              <w:rPr>
                <w:rFonts w:ascii="宋体" w:hAnsi="宋体" w:eastAsia="宋体"/>
                <w:color w:val="auto"/>
                <w:sz w:val="18"/>
                <w:szCs w:val="18"/>
                <w:highlight w:val="none"/>
              </w:rPr>
              <w:t>的</w:t>
            </w:r>
            <w:r>
              <w:rPr>
                <w:rFonts w:hint="eastAsia" w:ascii="宋体" w:hAnsi="宋体" w:eastAsia="宋体"/>
                <w:color w:val="auto"/>
                <w:sz w:val="18"/>
                <w:szCs w:val="18"/>
                <w:highlight w:val="none"/>
              </w:rPr>
              <w:t>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lang w:val="en-US" w:eastAsia="zh-CN"/>
              </w:rPr>
              <w:t>50028</w:t>
            </w:r>
          </w:p>
        </w:tc>
      </w:tr>
      <w:tr>
        <w:tblPrEx>
          <w:tblCellMar>
            <w:top w:w="0" w:type="dxa"/>
            <w:left w:w="108" w:type="dxa"/>
            <w:bottom w:w="0" w:type="dxa"/>
            <w:right w:w="108" w:type="dxa"/>
          </w:tblCellMar>
        </w:tblPrEx>
        <w:trPr>
          <w:trHeight w:val="499" w:hRule="atLeast"/>
        </w:trPr>
        <w:tc>
          <w:tcPr>
            <w:tcW w:w="3240" w:type="dxa"/>
            <w:tcBorders>
              <w:top w:val="nil"/>
              <w:left w:val="single" w:color="auto" w:sz="4" w:space="0"/>
              <w:bottom w:val="single" w:color="auto" w:sz="4" w:space="0"/>
              <w:right w:val="single" w:color="auto" w:sz="4" w:space="0"/>
            </w:tcBorders>
            <w:noWrap/>
            <w:vAlign w:val="center"/>
          </w:tcPr>
          <w:p>
            <w:pPr>
              <w:jc w:val="left"/>
              <w:rPr>
                <w:rFonts w:ascii="宋体" w:hAnsi="宋体" w:eastAsia="宋体"/>
                <w:color w:val="auto"/>
                <w:sz w:val="18"/>
                <w:szCs w:val="18"/>
                <w:highlight w:val="none"/>
              </w:rPr>
            </w:pPr>
            <w:r>
              <w:rPr>
                <w:rFonts w:hint="eastAsia" w:ascii="宋体" w:hAnsi="宋体" w:eastAsia="宋体"/>
                <w:color w:val="auto"/>
                <w:sz w:val="18"/>
                <w:szCs w:val="18"/>
                <w:highlight w:val="none"/>
              </w:rPr>
              <w:t xml:space="preserve"> （二）专项转移支付收入</w:t>
            </w:r>
          </w:p>
        </w:tc>
        <w:tc>
          <w:tcPr>
            <w:tcW w:w="1420"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51760</w:t>
            </w: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rPr>
              <w:t>214、交通运输支出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lang w:val="en-US" w:eastAsia="zh-CN"/>
              </w:rPr>
              <w:t>1500</w:t>
            </w:r>
          </w:p>
        </w:tc>
      </w:tr>
      <w:tr>
        <w:tblPrEx>
          <w:tblCellMar>
            <w:top w:w="0" w:type="dxa"/>
            <w:left w:w="108" w:type="dxa"/>
            <w:bottom w:w="0" w:type="dxa"/>
            <w:right w:w="108" w:type="dxa"/>
          </w:tblCellMar>
        </w:tblPrEx>
        <w:trPr>
          <w:trHeight w:val="525" w:hRule="atLeast"/>
        </w:trPr>
        <w:tc>
          <w:tcPr>
            <w:tcW w:w="3240" w:type="dxa"/>
            <w:tcBorders>
              <w:top w:val="nil"/>
              <w:left w:val="single" w:color="auto" w:sz="4" w:space="0"/>
              <w:bottom w:val="single" w:color="auto" w:sz="4" w:space="0"/>
              <w:right w:val="single" w:color="auto" w:sz="4" w:space="0"/>
            </w:tcBorders>
            <w:noWrap/>
            <w:vAlign w:val="center"/>
          </w:tcPr>
          <w:p>
            <w:pPr>
              <w:jc w:val="left"/>
              <w:rPr>
                <w:rFonts w:ascii="宋体" w:hAnsi="宋体" w:eastAsia="宋体"/>
                <w:color w:val="auto"/>
                <w:sz w:val="18"/>
                <w:szCs w:val="18"/>
                <w:highlight w:val="none"/>
              </w:rPr>
            </w:pPr>
            <w:r>
              <w:rPr>
                <w:rFonts w:hint="eastAsia" w:ascii="宋体" w:hAnsi="宋体" w:eastAsia="宋体"/>
                <w:color w:val="auto"/>
                <w:sz w:val="18"/>
                <w:szCs w:val="18"/>
                <w:highlight w:val="none"/>
              </w:rPr>
              <w:t xml:space="preserve"> （三）债券转贷收入</w:t>
            </w:r>
          </w:p>
        </w:tc>
        <w:tc>
          <w:tcPr>
            <w:tcW w:w="1420" w:type="dxa"/>
            <w:tcBorders>
              <w:top w:val="nil"/>
              <w:left w:val="nil"/>
              <w:bottom w:val="single" w:color="auto" w:sz="4" w:space="0"/>
              <w:right w:val="single" w:color="auto" w:sz="4" w:space="0"/>
            </w:tcBorders>
            <w:noWrap/>
            <w:vAlign w:val="center"/>
          </w:tcPr>
          <w:p>
            <w:pPr>
              <w:jc w:val="center"/>
              <w:rPr>
                <w:rFonts w:hint="default"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20509</w:t>
            </w: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rPr>
              <w:t xml:space="preserve">  车辆通行费</w:t>
            </w:r>
            <w:r>
              <w:rPr>
                <w:rFonts w:ascii="宋体" w:hAnsi="宋体" w:eastAsia="宋体"/>
                <w:color w:val="auto"/>
                <w:sz w:val="18"/>
                <w:szCs w:val="18"/>
                <w:highlight w:val="none"/>
              </w:rPr>
              <w:t>安排的支出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lang w:val="en-US" w:eastAsia="zh-CN"/>
              </w:rPr>
              <w:t>1500</w:t>
            </w:r>
          </w:p>
        </w:tc>
      </w:tr>
      <w:tr>
        <w:tblPrEx>
          <w:tblCellMar>
            <w:top w:w="0" w:type="dxa"/>
            <w:left w:w="108" w:type="dxa"/>
            <w:bottom w:w="0" w:type="dxa"/>
            <w:right w:w="108" w:type="dxa"/>
          </w:tblCellMar>
        </w:tblPrEx>
        <w:trPr>
          <w:trHeight w:val="525" w:hRule="atLeast"/>
        </w:trPr>
        <w:tc>
          <w:tcPr>
            <w:tcW w:w="3240" w:type="dxa"/>
            <w:tcBorders>
              <w:top w:val="nil"/>
              <w:left w:val="single" w:color="auto" w:sz="4" w:space="0"/>
              <w:bottom w:val="single" w:color="auto" w:sz="4" w:space="0"/>
              <w:right w:val="single" w:color="auto" w:sz="4" w:space="0"/>
            </w:tcBorders>
            <w:noWrap/>
            <w:vAlign w:val="center"/>
          </w:tcPr>
          <w:p>
            <w:pPr>
              <w:widowControl/>
              <w:spacing w:line="300" w:lineRule="exact"/>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w:t>
            </w:r>
          </w:p>
        </w:tc>
        <w:tc>
          <w:tcPr>
            <w:tcW w:w="142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color w:val="auto"/>
                <w:kern w:val="0"/>
                <w:sz w:val="18"/>
                <w:szCs w:val="18"/>
                <w:highlight w:val="none"/>
              </w:rPr>
            </w:pP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rPr>
              <w:t>229、其它支出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lang w:val="en-US" w:eastAsia="zh-CN"/>
              </w:rPr>
              <w:t>1119</w:t>
            </w:r>
          </w:p>
        </w:tc>
      </w:tr>
      <w:tr>
        <w:tblPrEx>
          <w:tblCellMar>
            <w:top w:w="0" w:type="dxa"/>
            <w:left w:w="108" w:type="dxa"/>
            <w:bottom w:w="0" w:type="dxa"/>
            <w:right w:w="108" w:type="dxa"/>
          </w:tblCellMar>
        </w:tblPrEx>
        <w:trPr>
          <w:trHeight w:val="525" w:hRule="atLeast"/>
        </w:trPr>
        <w:tc>
          <w:tcPr>
            <w:tcW w:w="3240" w:type="dxa"/>
            <w:tcBorders>
              <w:top w:val="nil"/>
              <w:left w:val="single" w:color="auto" w:sz="4" w:space="0"/>
              <w:bottom w:val="single" w:color="auto" w:sz="4" w:space="0"/>
              <w:right w:val="single" w:color="auto" w:sz="4" w:space="0"/>
            </w:tcBorders>
            <w:noWrap/>
            <w:vAlign w:val="center"/>
          </w:tcPr>
          <w:p>
            <w:pPr>
              <w:widowControl/>
              <w:spacing w:line="300" w:lineRule="exact"/>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w:t>
            </w:r>
          </w:p>
        </w:tc>
        <w:tc>
          <w:tcPr>
            <w:tcW w:w="142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color w:val="auto"/>
                <w:kern w:val="0"/>
                <w:sz w:val="18"/>
                <w:szCs w:val="18"/>
                <w:highlight w:val="none"/>
              </w:rPr>
            </w:pP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rPr>
              <w:t xml:space="preserve">  彩票公益金安排的支出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lang w:val="en-US" w:eastAsia="zh-CN"/>
              </w:rPr>
              <w:t>1119</w:t>
            </w:r>
          </w:p>
        </w:tc>
      </w:tr>
      <w:tr>
        <w:tblPrEx>
          <w:tblCellMar>
            <w:top w:w="0" w:type="dxa"/>
            <w:left w:w="108" w:type="dxa"/>
            <w:bottom w:w="0" w:type="dxa"/>
            <w:right w:w="108" w:type="dxa"/>
          </w:tblCellMar>
        </w:tblPrEx>
        <w:trPr>
          <w:trHeight w:val="525" w:hRule="atLeast"/>
        </w:trPr>
        <w:tc>
          <w:tcPr>
            <w:tcW w:w="3240" w:type="dxa"/>
            <w:tcBorders>
              <w:top w:val="nil"/>
              <w:left w:val="single" w:color="auto" w:sz="4" w:space="0"/>
              <w:bottom w:val="single" w:color="auto" w:sz="4" w:space="0"/>
              <w:right w:val="single" w:color="auto" w:sz="4" w:space="0"/>
            </w:tcBorders>
            <w:noWrap/>
            <w:vAlign w:val="center"/>
          </w:tcPr>
          <w:p>
            <w:pPr>
              <w:widowControl/>
              <w:spacing w:line="300" w:lineRule="exact"/>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w:t>
            </w:r>
          </w:p>
        </w:tc>
        <w:tc>
          <w:tcPr>
            <w:tcW w:w="142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color w:val="auto"/>
                <w:kern w:val="0"/>
                <w:sz w:val="18"/>
                <w:szCs w:val="18"/>
                <w:highlight w:val="none"/>
              </w:rPr>
            </w:pP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rPr>
              <w:t>232、债务付息支出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lang w:val="en-US" w:eastAsia="zh-CN"/>
              </w:rPr>
              <w:t>8101</w:t>
            </w:r>
          </w:p>
        </w:tc>
      </w:tr>
      <w:tr>
        <w:tblPrEx>
          <w:tblCellMar>
            <w:top w:w="0" w:type="dxa"/>
            <w:left w:w="108" w:type="dxa"/>
            <w:bottom w:w="0" w:type="dxa"/>
            <w:right w:w="108" w:type="dxa"/>
          </w:tblCellMar>
        </w:tblPrEx>
        <w:trPr>
          <w:trHeight w:val="525" w:hRule="atLeast"/>
        </w:trPr>
        <w:tc>
          <w:tcPr>
            <w:tcW w:w="3240" w:type="dxa"/>
            <w:tcBorders>
              <w:top w:val="nil"/>
              <w:left w:val="single" w:color="auto" w:sz="4" w:space="0"/>
              <w:bottom w:val="single" w:color="auto" w:sz="4" w:space="0"/>
              <w:right w:val="single" w:color="auto" w:sz="4" w:space="0"/>
            </w:tcBorders>
            <w:noWrap/>
            <w:vAlign w:val="center"/>
          </w:tcPr>
          <w:p>
            <w:pPr>
              <w:widowControl/>
              <w:spacing w:line="300" w:lineRule="exact"/>
              <w:jc w:val="left"/>
              <w:rPr>
                <w:rFonts w:ascii="宋体" w:hAnsi="宋体" w:eastAsia="宋体" w:cs="宋体"/>
                <w:color w:val="auto"/>
                <w:kern w:val="0"/>
                <w:sz w:val="18"/>
                <w:szCs w:val="18"/>
                <w:highlight w:val="none"/>
              </w:rPr>
            </w:pPr>
          </w:p>
        </w:tc>
        <w:tc>
          <w:tcPr>
            <w:tcW w:w="142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color w:val="auto"/>
                <w:kern w:val="0"/>
                <w:sz w:val="18"/>
                <w:szCs w:val="18"/>
                <w:highlight w:val="none"/>
              </w:rPr>
            </w:pP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rPr>
              <w:t>　地方政府专项债务付息支出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r>
              <w:rPr>
                <w:rFonts w:hint="eastAsia" w:ascii="宋体" w:hAnsi="宋体"/>
                <w:color w:val="auto"/>
                <w:sz w:val="18"/>
                <w:szCs w:val="18"/>
                <w:highlight w:val="none"/>
                <w:lang w:val="en-US" w:eastAsia="zh-CN"/>
              </w:rPr>
              <w:t>8101</w:t>
            </w:r>
          </w:p>
        </w:tc>
      </w:tr>
      <w:tr>
        <w:tblPrEx>
          <w:tblCellMar>
            <w:top w:w="0" w:type="dxa"/>
            <w:left w:w="108" w:type="dxa"/>
            <w:bottom w:w="0" w:type="dxa"/>
            <w:right w:w="108" w:type="dxa"/>
          </w:tblCellMar>
        </w:tblPrEx>
        <w:trPr>
          <w:trHeight w:val="525" w:hRule="atLeast"/>
        </w:trPr>
        <w:tc>
          <w:tcPr>
            <w:tcW w:w="3240" w:type="dxa"/>
            <w:tcBorders>
              <w:top w:val="nil"/>
              <w:left w:val="single" w:color="auto" w:sz="4" w:space="0"/>
              <w:bottom w:val="single" w:color="auto" w:sz="4" w:space="0"/>
              <w:right w:val="single" w:color="auto" w:sz="4" w:space="0"/>
            </w:tcBorders>
            <w:noWrap/>
            <w:vAlign w:val="center"/>
          </w:tcPr>
          <w:p>
            <w:pPr>
              <w:widowControl/>
              <w:spacing w:line="300" w:lineRule="exact"/>
              <w:jc w:val="left"/>
              <w:rPr>
                <w:rFonts w:ascii="宋体" w:hAnsi="宋体" w:eastAsia="宋体" w:cs="宋体"/>
                <w:color w:val="auto"/>
                <w:kern w:val="0"/>
                <w:sz w:val="18"/>
                <w:szCs w:val="18"/>
                <w:highlight w:val="none"/>
              </w:rPr>
            </w:pPr>
          </w:p>
        </w:tc>
        <w:tc>
          <w:tcPr>
            <w:tcW w:w="142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color w:val="auto"/>
                <w:kern w:val="0"/>
                <w:sz w:val="18"/>
                <w:szCs w:val="18"/>
                <w:highlight w:val="none"/>
              </w:rPr>
            </w:pPr>
          </w:p>
        </w:tc>
        <w:tc>
          <w:tcPr>
            <w:tcW w:w="3275" w:type="dxa"/>
            <w:tcBorders>
              <w:top w:val="nil"/>
              <w:left w:val="single" w:color="auto" w:sz="4" w:space="0"/>
              <w:bottom w:val="single" w:color="auto" w:sz="4" w:space="0"/>
              <w:right w:val="single" w:color="auto" w:sz="4" w:space="0"/>
            </w:tcBorders>
            <w:noWrap w:val="0"/>
            <w:vAlign w:val="center"/>
          </w:tcPr>
          <w:p>
            <w:pPr>
              <w:jc w:val="left"/>
              <w:rPr>
                <w:rFonts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rPr>
              <w:t>二</w:t>
            </w:r>
            <w:r>
              <w:rPr>
                <w:rFonts w:ascii="宋体" w:hAnsi="宋体" w:eastAsia="宋体"/>
                <w:color w:val="auto"/>
                <w:sz w:val="18"/>
                <w:szCs w:val="18"/>
                <w:highlight w:val="none"/>
              </w:rPr>
              <w:t>、</w:t>
            </w:r>
            <w:r>
              <w:rPr>
                <w:rFonts w:hint="eastAsia" w:ascii="宋体" w:hAnsi="宋体" w:eastAsia="宋体"/>
                <w:color w:val="auto"/>
                <w:sz w:val="18"/>
                <w:szCs w:val="18"/>
                <w:highlight w:val="none"/>
              </w:rPr>
              <w:t>债务</w:t>
            </w:r>
            <w:r>
              <w:rPr>
                <w:rFonts w:ascii="宋体" w:hAnsi="宋体" w:eastAsia="宋体"/>
                <w:color w:val="auto"/>
                <w:sz w:val="18"/>
                <w:szCs w:val="18"/>
                <w:highlight w:val="none"/>
              </w:rPr>
              <w:t>还本支出</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r>
              <w:rPr>
                <w:rFonts w:hint="eastAsia" w:ascii="宋体" w:hAnsi="宋体" w:eastAsia="宋体"/>
                <w:color w:val="auto"/>
                <w:sz w:val="18"/>
                <w:szCs w:val="18"/>
                <w:highlight w:val="none"/>
                <w:lang w:val="en-US" w:eastAsia="zh-CN"/>
              </w:rPr>
              <w:t>54952</w:t>
            </w:r>
          </w:p>
        </w:tc>
      </w:tr>
      <w:tr>
        <w:tblPrEx>
          <w:tblCellMar>
            <w:top w:w="0" w:type="dxa"/>
            <w:left w:w="108" w:type="dxa"/>
            <w:bottom w:w="0" w:type="dxa"/>
            <w:right w:w="108" w:type="dxa"/>
          </w:tblCellMar>
        </w:tblPrEx>
        <w:trPr>
          <w:trHeight w:val="525" w:hRule="atLeast"/>
        </w:trPr>
        <w:tc>
          <w:tcPr>
            <w:tcW w:w="3240" w:type="dxa"/>
            <w:tcBorders>
              <w:top w:val="nil"/>
              <w:left w:val="single" w:color="auto" w:sz="4" w:space="0"/>
              <w:bottom w:val="single" w:color="auto" w:sz="4" w:space="0"/>
              <w:right w:val="single" w:color="auto" w:sz="4" w:space="0"/>
            </w:tcBorders>
            <w:noWrap/>
            <w:vAlign w:val="center"/>
          </w:tcPr>
          <w:p>
            <w:pPr>
              <w:widowControl/>
              <w:spacing w:line="300" w:lineRule="exact"/>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w:t>
            </w:r>
          </w:p>
        </w:tc>
        <w:tc>
          <w:tcPr>
            <w:tcW w:w="142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color w:val="auto"/>
                <w:kern w:val="0"/>
                <w:sz w:val="18"/>
                <w:szCs w:val="18"/>
                <w:highlight w:val="none"/>
              </w:rPr>
            </w:pPr>
          </w:p>
        </w:tc>
        <w:tc>
          <w:tcPr>
            <w:tcW w:w="3275" w:type="dxa"/>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ascii="宋体" w:hAnsi="宋体" w:eastAsia="宋体" w:cs="宋体"/>
                <w:bCs/>
                <w:color w:val="auto"/>
                <w:kern w:val="0"/>
                <w:sz w:val="18"/>
                <w:szCs w:val="18"/>
                <w:highlight w:val="none"/>
                <w:lang w:val="en-US" w:eastAsia="zh-CN" w:bidi="ar-SA"/>
              </w:rPr>
            </w:pPr>
            <w:r>
              <w:rPr>
                <w:rFonts w:hint="eastAsia" w:ascii="宋体" w:hAnsi="宋体" w:eastAsia="宋体" w:cs="宋体"/>
                <w:bCs/>
                <w:color w:val="auto"/>
                <w:kern w:val="0"/>
                <w:sz w:val="18"/>
                <w:szCs w:val="18"/>
                <w:highlight w:val="none"/>
              </w:rPr>
              <w:t>三、调出资金</w:t>
            </w:r>
          </w:p>
        </w:tc>
        <w:tc>
          <w:tcPr>
            <w:tcW w:w="1440" w:type="dxa"/>
            <w:tcBorders>
              <w:top w:val="nil"/>
              <w:left w:val="nil"/>
              <w:bottom w:val="single" w:color="auto" w:sz="4" w:space="0"/>
              <w:right w:val="single" w:color="auto" w:sz="4" w:space="0"/>
            </w:tcBorders>
            <w:noWrap/>
            <w:vAlign w:val="center"/>
          </w:tcPr>
          <w:p>
            <w:pPr>
              <w:jc w:val="center"/>
              <w:rPr>
                <w:rFonts w:hint="default" w:ascii="宋体" w:hAnsi="宋体" w:eastAsia="宋体" w:cs="Times New Roman"/>
                <w:color w:val="auto"/>
                <w:kern w:val="2"/>
                <w:sz w:val="18"/>
                <w:szCs w:val="18"/>
                <w:highlight w:val="none"/>
                <w:lang w:val="en-US" w:eastAsia="zh-CN" w:bidi="ar-SA"/>
              </w:rPr>
            </w:pPr>
          </w:p>
        </w:tc>
      </w:tr>
      <w:tr>
        <w:tblPrEx>
          <w:tblCellMar>
            <w:top w:w="0" w:type="dxa"/>
            <w:left w:w="108" w:type="dxa"/>
            <w:bottom w:w="0" w:type="dxa"/>
            <w:right w:w="108" w:type="dxa"/>
          </w:tblCellMar>
        </w:tblPrEx>
        <w:trPr>
          <w:trHeight w:val="525" w:hRule="atLeast"/>
        </w:trPr>
        <w:tc>
          <w:tcPr>
            <w:tcW w:w="3240" w:type="dxa"/>
            <w:tcBorders>
              <w:top w:val="nil"/>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bCs/>
                <w:color w:val="auto"/>
                <w:kern w:val="0"/>
                <w:sz w:val="18"/>
                <w:szCs w:val="18"/>
                <w:highlight w:val="none"/>
              </w:rPr>
            </w:pPr>
            <w:r>
              <w:rPr>
                <w:rFonts w:hint="eastAsia" w:ascii="宋体" w:hAnsi="宋体" w:eastAsia="宋体" w:cs="宋体"/>
                <w:bCs/>
                <w:color w:val="auto"/>
                <w:kern w:val="0"/>
                <w:sz w:val="18"/>
                <w:szCs w:val="18"/>
                <w:highlight w:val="none"/>
              </w:rPr>
              <w:t>收入合计</w:t>
            </w:r>
          </w:p>
        </w:tc>
        <w:tc>
          <w:tcPr>
            <w:tcW w:w="1420" w:type="dxa"/>
            <w:tcBorders>
              <w:top w:val="nil"/>
              <w:left w:val="nil"/>
              <w:bottom w:val="single" w:color="auto" w:sz="4" w:space="0"/>
              <w:right w:val="single" w:color="auto" w:sz="4" w:space="0"/>
            </w:tcBorders>
            <w:noWrap/>
            <w:vAlign w:val="center"/>
          </w:tcPr>
          <w:p>
            <w:pPr>
              <w:widowControl/>
              <w:spacing w:line="300" w:lineRule="exact"/>
              <w:jc w:val="center"/>
              <w:rPr>
                <w:rFonts w:hint="default" w:ascii="宋体" w:hAnsi="宋体" w:eastAsia="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171532</w:t>
            </w:r>
          </w:p>
        </w:tc>
        <w:tc>
          <w:tcPr>
            <w:tcW w:w="327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bCs/>
                <w:color w:val="auto"/>
                <w:kern w:val="0"/>
                <w:sz w:val="18"/>
                <w:szCs w:val="18"/>
                <w:highlight w:val="none"/>
              </w:rPr>
            </w:pPr>
            <w:r>
              <w:rPr>
                <w:rFonts w:hint="eastAsia" w:ascii="宋体" w:hAnsi="宋体" w:eastAsia="宋体" w:cs="宋体"/>
                <w:bCs/>
                <w:color w:val="auto"/>
                <w:kern w:val="0"/>
                <w:sz w:val="18"/>
                <w:szCs w:val="18"/>
                <w:highlight w:val="none"/>
              </w:rPr>
              <w:t>支出合计</w:t>
            </w:r>
          </w:p>
        </w:tc>
        <w:tc>
          <w:tcPr>
            <w:tcW w:w="1440" w:type="dxa"/>
            <w:tcBorders>
              <w:top w:val="nil"/>
              <w:left w:val="nil"/>
              <w:bottom w:val="single" w:color="auto" w:sz="4" w:space="0"/>
              <w:right w:val="single" w:color="auto" w:sz="4" w:space="0"/>
            </w:tcBorders>
            <w:noWrap/>
            <w:vAlign w:val="center"/>
          </w:tcPr>
          <w:p>
            <w:pPr>
              <w:widowControl/>
              <w:spacing w:line="300" w:lineRule="exact"/>
              <w:jc w:val="center"/>
              <w:rPr>
                <w:rFonts w:hint="default" w:ascii="宋体" w:hAnsi="宋体" w:eastAsia="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171532</w:t>
            </w:r>
          </w:p>
        </w:tc>
      </w:tr>
    </w:tbl>
    <w:p>
      <w:pPr>
        <w:rPr>
          <w:rFonts w:hint="eastAsia" w:ascii="黑体" w:hAnsi="黑体" w:eastAsia="黑体" w:cs="宋体"/>
          <w:color w:val="auto"/>
          <w:kern w:val="0"/>
          <w:sz w:val="36"/>
          <w:szCs w:val="36"/>
          <w:highlight w:val="none"/>
          <w:lang w:val="en-US" w:eastAsia="zh-CN"/>
        </w:rPr>
      </w:pPr>
    </w:p>
    <w:p>
      <w:pPr>
        <w:rPr>
          <w:rFonts w:ascii="黑体" w:hAnsi="黑体" w:eastAsia="黑体" w:cs="宋体"/>
          <w:color w:val="auto"/>
          <w:kern w:val="0"/>
          <w:sz w:val="32"/>
          <w:szCs w:val="32"/>
          <w:highlight w:val="none"/>
        </w:rPr>
      </w:pPr>
      <w:r>
        <w:rPr>
          <w:rFonts w:hint="eastAsia" w:ascii="黑体" w:hAnsi="黑体" w:eastAsia="黑体" w:cs="宋体"/>
          <w:color w:val="auto"/>
          <w:kern w:val="0"/>
          <w:sz w:val="36"/>
          <w:szCs w:val="36"/>
          <w:highlight w:val="none"/>
          <w:lang w:val="en-US" w:eastAsia="zh-CN"/>
        </w:rPr>
        <w:t>附件3</w:t>
      </w:r>
      <w:r>
        <w:rPr>
          <w:rFonts w:hint="eastAsia" w:ascii="黑体" w:hAnsi="黑体" w:eastAsia="黑体" w:cs="宋体"/>
          <w:color w:val="auto"/>
          <w:kern w:val="0"/>
          <w:sz w:val="36"/>
          <w:szCs w:val="36"/>
          <w:highlight w:val="none"/>
        </w:rPr>
        <w:t>-0</w:t>
      </w:r>
      <w:r>
        <w:rPr>
          <w:rFonts w:hint="eastAsia" w:ascii="黑体" w:hAnsi="黑体" w:eastAsia="黑体" w:cs="宋体"/>
          <w:color w:val="auto"/>
          <w:kern w:val="0"/>
          <w:sz w:val="36"/>
          <w:szCs w:val="36"/>
          <w:highlight w:val="none"/>
          <w:lang w:val="en-US" w:eastAsia="zh-CN"/>
        </w:rPr>
        <w:t>3</w:t>
      </w:r>
      <w:r>
        <w:rPr>
          <w:rFonts w:hint="eastAsia" w:ascii="黑体" w:hAnsi="黑体" w:eastAsia="黑体" w:cs="宋体"/>
          <w:color w:val="auto"/>
          <w:kern w:val="0"/>
          <w:sz w:val="36"/>
          <w:szCs w:val="36"/>
          <w:highlight w:val="none"/>
        </w:rPr>
        <w:t xml:space="preserve"> </w:t>
      </w:r>
    </w:p>
    <w:p>
      <w:pPr>
        <w:jc w:val="center"/>
        <w:rPr>
          <w:rFonts w:ascii="方正小标宋简体" w:hAnsi="宋体" w:eastAsia="方正小标宋简体" w:cs="宋体"/>
          <w:color w:val="auto"/>
          <w:sz w:val="36"/>
          <w:szCs w:val="36"/>
          <w:highlight w:val="none"/>
        </w:rPr>
      </w:pPr>
      <w:r>
        <w:rPr>
          <w:rFonts w:hint="eastAsia" w:ascii="方正小标宋简体" w:eastAsia="方正小标宋简体"/>
          <w:color w:val="auto"/>
          <w:sz w:val="36"/>
          <w:szCs w:val="36"/>
          <w:highlight w:val="none"/>
          <w:lang w:eastAsia="zh-CN"/>
        </w:rPr>
        <w:t>2022年</w:t>
      </w:r>
      <w:r>
        <w:rPr>
          <w:rFonts w:hint="eastAsia" w:ascii="方正小标宋简体" w:eastAsia="方正小标宋简体"/>
          <w:color w:val="auto"/>
          <w:sz w:val="36"/>
          <w:szCs w:val="36"/>
          <w:highlight w:val="none"/>
        </w:rPr>
        <w:t>社会保险基金预算（草案）计划表</w:t>
      </w:r>
    </w:p>
    <w:p>
      <w:pPr>
        <w:rPr>
          <w:rFonts w:ascii="宋体" w:hAnsi="宋体" w:cs="宋体"/>
          <w:color w:val="auto"/>
          <w:sz w:val="24"/>
          <w:highlight w:val="none"/>
        </w:rPr>
      </w:pPr>
      <w:r>
        <w:rPr>
          <w:rFonts w:hint="eastAsia" w:ascii="仿宋_GB2312" w:hAnsi="宋体" w:eastAsia="仿宋_GB2312" w:cs="宋体"/>
          <w:color w:val="auto"/>
          <w:kern w:val="0"/>
          <w:sz w:val="32"/>
          <w:szCs w:val="32"/>
          <w:highlight w:val="none"/>
        </w:rPr>
        <w:t xml:space="preserve">                                                 </w:t>
      </w:r>
      <w:r>
        <w:rPr>
          <w:rFonts w:hint="eastAsia"/>
          <w:color w:val="auto"/>
          <w:highlight w:val="none"/>
        </w:rPr>
        <w:t>单位：万元</w:t>
      </w:r>
    </w:p>
    <w:tbl>
      <w:tblPr>
        <w:tblStyle w:val="11"/>
        <w:tblW w:w="9375" w:type="dxa"/>
        <w:tblInd w:w="93" w:type="dxa"/>
        <w:tblLayout w:type="autofit"/>
        <w:tblCellMar>
          <w:top w:w="0" w:type="dxa"/>
          <w:left w:w="108" w:type="dxa"/>
          <w:bottom w:w="0" w:type="dxa"/>
          <w:right w:w="108" w:type="dxa"/>
        </w:tblCellMar>
      </w:tblPr>
      <w:tblGrid>
        <w:gridCol w:w="3255"/>
        <w:gridCol w:w="1440"/>
        <w:gridCol w:w="3060"/>
        <w:gridCol w:w="1620"/>
      </w:tblGrid>
      <w:tr>
        <w:tblPrEx>
          <w:tblCellMar>
            <w:top w:w="0" w:type="dxa"/>
            <w:left w:w="108" w:type="dxa"/>
            <w:bottom w:w="0" w:type="dxa"/>
            <w:right w:w="108" w:type="dxa"/>
          </w:tblCellMar>
        </w:tblPrEx>
        <w:trPr>
          <w:trHeight w:val="705" w:hRule="atLeast"/>
        </w:trPr>
        <w:tc>
          <w:tcPr>
            <w:tcW w:w="4695"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b/>
                <w:bCs/>
                <w:color w:val="auto"/>
                <w:kern w:val="0"/>
                <w:sz w:val="28"/>
                <w:szCs w:val="28"/>
                <w:highlight w:val="none"/>
              </w:rPr>
            </w:pPr>
            <w:r>
              <w:rPr>
                <w:rFonts w:hint="eastAsia" w:ascii="宋体" w:hAnsi="宋体" w:cs="宋体"/>
                <w:b/>
                <w:bCs/>
                <w:color w:val="auto"/>
                <w:kern w:val="0"/>
                <w:sz w:val="28"/>
                <w:szCs w:val="28"/>
                <w:highlight w:val="none"/>
              </w:rPr>
              <w:t>收 入 预 算</w:t>
            </w:r>
          </w:p>
        </w:tc>
        <w:tc>
          <w:tcPr>
            <w:tcW w:w="4680"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b/>
                <w:bCs/>
                <w:color w:val="auto"/>
                <w:kern w:val="0"/>
                <w:sz w:val="28"/>
                <w:szCs w:val="28"/>
                <w:highlight w:val="none"/>
              </w:rPr>
            </w:pPr>
            <w:r>
              <w:rPr>
                <w:rFonts w:hint="eastAsia" w:ascii="宋体" w:hAnsi="宋体" w:cs="宋体"/>
                <w:b/>
                <w:bCs/>
                <w:color w:val="auto"/>
                <w:kern w:val="0"/>
                <w:sz w:val="28"/>
                <w:szCs w:val="28"/>
                <w:highlight w:val="none"/>
              </w:rPr>
              <w:t>支 出 预 算</w:t>
            </w:r>
          </w:p>
        </w:tc>
      </w:tr>
      <w:tr>
        <w:tblPrEx>
          <w:tblCellMar>
            <w:top w:w="0" w:type="dxa"/>
            <w:left w:w="108" w:type="dxa"/>
            <w:bottom w:w="0" w:type="dxa"/>
            <w:right w:w="108" w:type="dxa"/>
          </w:tblCellMar>
        </w:tblPrEx>
        <w:trPr>
          <w:trHeight w:val="705" w:hRule="atLeast"/>
        </w:trPr>
        <w:tc>
          <w:tcPr>
            <w:tcW w:w="325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项    目</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金  额</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项    目</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金  额</w:t>
            </w:r>
          </w:p>
        </w:tc>
      </w:tr>
      <w:tr>
        <w:tblPrEx>
          <w:tblCellMar>
            <w:top w:w="0" w:type="dxa"/>
            <w:left w:w="108" w:type="dxa"/>
            <w:bottom w:w="0" w:type="dxa"/>
            <w:right w:w="108" w:type="dxa"/>
          </w:tblCellMar>
        </w:tblPrEx>
        <w:trPr>
          <w:trHeight w:val="705" w:hRule="atLeast"/>
        </w:trPr>
        <w:tc>
          <w:tcPr>
            <w:tcW w:w="325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bCs/>
                <w:color w:val="auto"/>
                <w:kern w:val="0"/>
                <w:sz w:val="18"/>
                <w:szCs w:val="18"/>
                <w:highlight w:val="none"/>
              </w:rPr>
            </w:pPr>
            <w:r>
              <w:rPr>
                <w:rFonts w:hint="eastAsia" w:ascii="宋体" w:hAnsi="宋体" w:eastAsia="宋体" w:cs="宋体"/>
                <w:bCs/>
                <w:color w:val="auto"/>
                <w:kern w:val="0"/>
                <w:sz w:val="18"/>
                <w:szCs w:val="18"/>
                <w:highlight w:val="none"/>
              </w:rPr>
              <w:t>一、本年收入</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Tahoma"/>
                <w:color w:val="auto"/>
                <w:kern w:val="0"/>
                <w:sz w:val="18"/>
                <w:szCs w:val="18"/>
                <w:highlight w:val="none"/>
                <w:lang w:val="en-US" w:eastAsia="zh-CN"/>
              </w:rPr>
            </w:pPr>
            <w:r>
              <w:rPr>
                <w:rFonts w:hint="eastAsia" w:ascii="宋体" w:hAnsi="宋体" w:eastAsia="宋体" w:cs="Tahoma"/>
                <w:color w:val="auto"/>
                <w:sz w:val="18"/>
                <w:szCs w:val="18"/>
                <w:highlight w:val="none"/>
                <w:lang w:val="en-US" w:eastAsia="zh-CN"/>
              </w:rPr>
              <w:t>63039</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bCs/>
                <w:color w:val="auto"/>
                <w:kern w:val="0"/>
                <w:sz w:val="18"/>
                <w:szCs w:val="18"/>
                <w:highlight w:val="none"/>
              </w:rPr>
            </w:pPr>
            <w:r>
              <w:rPr>
                <w:rFonts w:hint="eastAsia" w:ascii="宋体" w:hAnsi="宋体" w:eastAsia="宋体" w:cs="宋体"/>
                <w:bCs/>
                <w:color w:val="auto"/>
                <w:kern w:val="0"/>
                <w:sz w:val="18"/>
                <w:szCs w:val="18"/>
                <w:highlight w:val="none"/>
              </w:rPr>
              <w:t>一、本年支出</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Tahoma"/>
                <w:color w:val="auto"/>
                <w:kern w:val="0"/>
                <w:sz w:val="18"/>
                <w:szCs w:val="18"/>
                <w:highlight w:val="none"/>
                <w:lang w:val="en-US" w:eastAsia="zh-CN"/>
              </w:rPr>
            </w:pPr>
            <w:r>
              <w:rPr>
                <w:rFonts w:hint="eastAsia" w:ascii="宋体" w:hAnsi="宋体" w:cs="Tahoma"/>
                <w:color w:val="auto"/>
                <w:sz w:val="18"/>
                <w:szCs w:val="18"/>
                <w:highlight w:val="none"/>
                <w:lang w:val="en-US" w:eastAsia="zh-CN"/>
              </w:rPr>
              <w:t>56938</w:t>
            </w: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noWrap w:val="0"/>
            <w:vAlign w:val="center"/>
          </w:tcPr>
          <w:p>
            <w:pPr>
              <w:widowControl/>
              <w:ind w:firstLine="270" w:firstLineChars="150"/>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企业职工基本养老保险基金</w:t>
            </w:r>
          </w:p>
        </w:tc>
        <w:tc>
          <w:tcPr>
            <w:tcW w:w="1440"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Tahoma"/>
                <w:color w:val="auto"/>
                <w:sz w:val="18"/>
                <w:szCs w:val="18"/>
                <w:highlight w:val="none"/>
              </w:rPr>
            </w:pPr>
          </w:p>
        </w:tc>
        <w:tc>
          <w:tcPr>
            <w:tcW w:w="306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企业职工基本养老保险基金</w:t>
            </w:r>
          </w:p>
        </w:tc>
        <w:tc>
          <w:tcPr>
            <w:tcW w:w="1620"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Tahoma"/>
                <w:color w:val="auto"/>
                <w:sz w:val="18"/>
                <w:szCs w:val="18"/>
                <w:highlight w:val="none"/>
              </w:rPr>
            </w:pP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noWrap w:val="0"/>
            <w:vAlign w:val="center"/>
          </w:tcPr>
          <w:p>
            <w:pPr>
              <w:widowControl/>
              <w:ind w:firstLine="270" w:firstLineChars="150"/>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城乡居民基本养老保险基金</w:t>
            </w:r>
          </w:p>
        </w:tc>
        <w:tc>
          <w:tcPr>
            <w:tcW w:w="144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hAnsi="宋体" w:eastAsia="宋体" w:cs="Tahoma"/>
                <w:color w:val="auto"/>
                <w:sz w:val="18"/>
                <w:szCs w:val="18"/>
                <w:highlight w:val="none"/>
                <w:lang w:val="en-US" w:eastAsia="zh-CN"/>
              </w:rPr>
            </w:pPr>
            <w:r>
              <w:rPr>
                <w:rFonts w:ascii="宋体" w:hAnsi="宋体" w:eastAsia="宋体" w:cs="Tahoma"/>
                <w:color w:val="auto"/>
                <w:sz w:val="18"/>
                <w:szCs w:val="18"/>
                <w:highlight w:val="none"/>
              </w:rPr>
              <w:t>1</w:t>
            </w:r>
            <w:r>
              <w:rPr>
                <w:rFonts w:hint="eastAsia" w:ascii="宋体" w:hAnsi="宋体" w:eastAsia="宋体" w:cs="Tahoma"/>
                <w:color w:val="auto"/>
                <w:sz w:val="18"/>
                <w:szCs w:val="18"/>
                <w:highlight w:val="none"/>
                <w:lang w:val="en-US" w:eastAsia="zh-CN"/>
              </w:rPr>
              <w:t>4586</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城乡居民基本养老保险基金</w:t>
            </w:r>
          </w:p>
        </w:tc>
        <w:tc>
          <w:tcPr>
            <w:tcW w:w="162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hAnsi="宋体" w:eastAsia="宋体" w:cs="Tahoma"/>
                <w:color w:val="auto"/>
                <w:sz w:val="18"/>
                <w:szCs w:val="18"/>
                <w:highlight w:val="none"/>
                <w:lang w:val="en-US" w:eastAsia="zh-CN"/>
              </w:rPr>
            </w:pPr>
            <w:r>
              <w:rPr>
                <w:rFonts w:hint="eastAsia" w:ascii="宋体" w:hAnsi="宋体" w:eastAsia="宋体" w:cs="Tahoma"/>
                <w:color w:val="auto"/>
                <w:sz w:val="18"/>
                <w:szCs w:val="18"/>
                <w:highlight w:val="none"/>
                <w:lang w:val="en-US" w:eastAsia="zh-CN"/>
              </w:rPr>
              <w:t>11344</w:t>
            </w:r>
          </w:p>
        </w:tc>
      </w:tr>
      <w:tr>
        <w:trPr>
          <w:trHeight w:val="660" w:hRule="atLeast"/>
        </w:trPr>
        <w:tc>
          <w:tcPr>
            <w:tcW w:w="325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城镇职工基本医疗保险基金</w:t>
            </w:r>
          </w:p>
        </w:tc>
        <w:tc>
          <w:tcPr>
            <w:tcW w:w="144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hAnsi="宋体" w:eastAsia="宋体" w:cs="Tahoma"/>
                <w:color w:val="auto"/>
                <w:sz w:val="18"/>
                <w:szCs w:val="18"/>
                <w:highlight w:val="none"/>
                <w:lang w:val="en-US" w:eastAsia="zh-CN"/>
              </w:rPr>
            </w:pPr>
            <w:r>
              <w:rPr>
                <w:rFonts w:hint="eastAsia" w:ascii="宋体" w:hAnsi="宋体" w:eastAsia="宋体" w:cs="Tahoma"/>
                <w:color w:val="auto"/>
                <w:sz w:val="18"/>
                <w:szCs w:val="18"/>
                <w:highlight w:val="none"/>
                <w:lang w:val="en-US" w:eastAsia="zh-CN"/>
              </w:rPr>
              <w:t>14073</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城镇职工基本医疗保险基金</w:t>
            </w:r>
          </w:p>
        </w:tc>
        <w:tc>
          <w:tcPr>
            <w:tcW w:w="162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hAnsi="宋体" w:eastAsia="宋体" w:cs="Tahoma"/>
                <w:color w:val="auto"/>
                <w:sz w:val="18"/>
                <w:szCs w:val="18"/>
                <w:highlight w:val="none"/>
                <w:lang w:val="en-US" w:eastAsia="zh-CN"/>
              </w:rPr>
            </w:pPr>
            <w:r>
              <w:rPr>
                <w:rFonts w:hint="eastAsia" w:ascii="宋体" w:hAnsi="宋体" w:cs="Tahoma"/>
                <w:color w:val="auto"/>
                <w:sz w:val="18"/>
                <w:szCs w:val="18"/>
                <w:highlight w:val="none"/>
                <w:lang w:val="en-US" w:eastAsia="zh-CN"/>
              </w:rPr>
              <w:t>11215</w:t>
            </w:r>
          </w:p>
        </w:tc>
      </w:tr>
      <w:tr>
        <w:trPr>
          <w:trHeight w:val="660" w:hRule="atLeast"/>
        </w:trPr>
        <w:tc>
          <w:tcPr>
            <w:tcW w:w="325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居民基本医疗保险基金</w:t>
            </w:r>
          </w:p>
        </w:tc>
        <w:tc>
          <w:tcPr>
            <w:tcW w:w="1440"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Tahoma"/>
                <w:color w:val="auto"/>
                <w:sz w:val="18"/>
                <w:szCs w:val="18"/>
                <w:highlight w:val="none"/>
              </w:rPr>
            </w:pPr>
          </w:p>
        </w:tc>
        <w:tc>
          <w:tcPr>
            <w:tcW w:w="306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居民基本医疗保险基金</w:t>
            </w:r>
          </w:p>
        </w:tc>
        <w:tc>
          <w:tcPr>
            <w:tcW w:w="1620"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Tahoma"/>
                <w:color w:val="auto"/>
                <w:sz w:val="18"/>
                <w:szCs w:val="18"/>
                <w:highlight w:val="none"/>
              </w:rPr>
            </w:pPr>
          </w:p>
        </w:tc>
      </w:tr>
      <w:tr>
        <w:trPr>
          <w:trHeight w:val="660" w:hRule="atLeast"/>
        </w:trPr>
        <w:tc>
          <w:tcPr>
            <w:tcW w:w="325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工伤保险基金</w:t>
            </w:r>
          </w:p>
        </w:tc>
        <w:tc>
          <w:tcPr>
            <w:tcW w:w="144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cs="Tahoma"/>
                <w:color w:val="auto"/>
                <w:sz w:val="18"/>
                <w:szCs w:val="18"/>
                <w:highlight w:val="none"/>
                <w:lang w:eastAsia="zh-CN"/>
              </w:rPr>
            </w:pPr>
          </w:p>
        </w:tc>
        <w:tc>
          <w:tcPr>
            <w:tcW w:w="306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工伤保险基金</w:t>
            </w:r>
          </w:p>
        </w:tc>
        <w:tc>
          <w:tcPr>
            <w:tcW w:w="162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cs="Tahoma"/>
                <w:color w:val="auto"/>
                <w:sz w:val="18"/>
                <w:szCs w:val="18"/>
                <w:highlight w:val="none"/>
                <w:lang w:eastAsia="zh-CN"/>
              </w:rPr>
            </w:pP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失业保险基金</w:t>
            </w:r>
          </w:p>
        </w:tc>
        <w:tc>
          <w:tcPr>
            <w:tcW w:w="144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hAnsi="宋体" w:eastAsia="宋体" w:cs="Tahoma"/>
                <w:color w:val="auto"/>
                <w:sz w:val="18"/>
                <w:szCs w:val="18"/>
                <w:highlight w:val="none"/>
                <w:lang w:val="en-US" w:eastAsia="zh-CN"/>
              </w:rPr>
            </w:pPr>
            <w:r>
              <w:rPr>
                <w:rFonts w:hint="eastAsia" w:ascii="宋体" w:hAnsi="宋体" w:eastAsia="宋体" w:cs="Tahoma"/>
                <w:color w:val="auto"/>
                <w:sz w:val="18"/>
                <w:szCs w:val="18"/>
                <w:highlight w:val="none"/>
                <w:lang w:val="en-US" w:eastAsia="zh-CN"/>
              </w:rPr>
              <w:t>1464</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失业保险基金</w:t>
            </w:r>
          </w:p>
        </w:tc>
        <w:tc>
          <w:tcPr>
            <w:tcW w:w="162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hAnsi="宋体" w:eastAsia="宋体" w:cs="Tahoma"/>
                <w:color w:val="auto"/>
                <w:sz w:val="18"/>
                <w:szCs w:val="18"/>
                <w:highlight w:val="none"/>
                <w:lang w:val="en-US" w:eastAsia="zh-CN"/>
              </w:rPr>
            </w:pPr>
            <w:r>
              <w:rPr>
                <w:rFonts w:hint="eastAsia" w:ascii="宋体" w:hAnsi="宋体" w:eastAsia="宋体" w:cs="Tahoma"/>
                <w:color w:val="auto"/>
                <w:sz w:val="18"/>
                <w:szCs w:val="18"/>
                <w:highlight w:val="none"/>
                <w:lang w:val="en-US" w:eastAsia="zh-CN"/>
              </w:rPr>
              <w:t>1463</w:t>
            </w: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机关事业养老保险基金</w:t>
            </w:r>
          </w:p>
        </w:tc>
        <w:tc>
          <w:tcPr>
            <w:tcW w:w="144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hAnsi="宋体" w:eastAsia="宋体" w:cs="Tahoma"/>
                <w:color w:val="auto"/>
                <w:sz w:val="18"/>
                <w:szCs w:val="18"/>
                <w:highlight w:val="none"/>
                <w:lang w:val="en-US" w:eastAsia="zh-CN"/>
              </w:rPr>
            </w:pPr>
            <w:r>
              <w:rPr>
                <w:rFonts w:hint="eastAsia" w:ascii="宋体" w:hAnsi="宋体" w:eastAsia="宋体" w:cs="Tahoma"/>
                <w:color w:val="auto"/>
                <w:sz w:val="18"/>
                <w:szCs w:val="18"/>
                <w:highlight w:val="none"/>
                <w:lang w:val="en-US" w:eastAsia="zh-CN"/>
              </w:rPr>
              <w:t>32916</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机关事业养老保险基金</w:t>
            </w:r>
          </w:p>
        </w:tc>
        <w:tc>
          <w:tcPr>
            <w:tcW w:w="162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hAnsi="宋体" w:eastAsia="宋体" w:cs="Tahoma"/>
                <w:color w:val="auto"/>
                <w:sz w:val="18"/>
                <w:szCs w:val="18"/>
                <w:highlight w:val="none"/>
                <w:lang w:val="en-US" w:eastAsia="zh-CN"/>
              </w:rPr>
            </w:pPr>
            <w:r>
              <w:rPr>
                <w:rFonts w:hint="eastAsia" w:ascii="宋体" w:hAnsi="宋体" w:eastAsia="宋体" w:cs="Tahoma"/>
                <w:color w:val="auto"/>
                <w:sz w:val="18"/>
                <w:szCs w:val="18"/>
                <w:highlight w:val="none"/>
                <w:lang w:val="en-US" w:eastAsia="zh-CN"/>
              </w:rPr>
              <w:t>32916</w:t>
            </w:r>
          </w:p>
        </w:tc>
      </w:tr>
      <w:tr>
        <w:trPr>
          <w:trHeight w:val="660" w:hRule="atLeast"/>
        </w:trPr>
        <w:tc>
          <w:tcPr>
            <w:tcW w:w="325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bCs/>
                <w:color w:val="auto"/>
                <w:kern w:val="0"/>
                <w:sz w:val="18"/>
                <w:szCs w:val="18"/>
                <w:highlight w:val="none"/>
              </w:rPr>
              <w:t>二、历年滚存结余</w:t>
            </w:r>
          </w:p>
        </w:tc>
        <w:tc>
          <w:tcPr>
            <w:tcW w:w="144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hAnsi="宋体" w:eastAsia="宋体" w:cs="Tahoma"/>
                <w:color w:val="auto"/>
                <w:sz w:val="18"/>
                <w:szCs w:val="18"/>
                <w:highlight w:val="none"/>
                <w:lang w:val="en-US" w:eastAsia="zh-CN"/>
              </w:rPr>
            </w:pPr>
            <w:r>
              <w:rPr>
                <w:rFonts w:hint="eastAsia" w:ascii="宋体" w:hAnsi="宋体" w:cs="Tahoma"/>
                <w:color w:val="auto"/>
                <w:sz w:val="18"/>
                <w:szCs w:val="18"/>
                <w:highlight w:val="none"/>
                <w:lang w:val="en-US" w:eastAsia="zh-CN"/>
              </w:rPr>
              <w:t>46262</w:t>
            </w:r>
          </w:p>
        </w:tc>
        <w:tc>
          <w:tcPr>
            <w:tcW w:w="306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xml:space="preserve">   </w:t>
            </w:r>
          </w:p>
        </w:tc>
        <w:tc>
          <w:tcPr>
            <w:tcW w:w="162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eastAsia="宋体" w:cs="Tahoma"/>
                <w:color w:val="auto"/>
                <w:kern w:val="0"/>
                <w:sz w:val="18"/>
                <w:szCs w:val="18"/>
                <w:highlight w:val="none"/>
              </w:rPr>
            </w:pP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eastAsia="宋体" w:cs="宋体"/>
                <w:bCs/>
                <w:color w:val="auto"/>
                <w:kern w:val="0"/>
                <w:sz w:val="18"/>
                <w:szCs w:val="18"/>
                <w:highlight w:val="none"/>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eastAsia="宋体" w:cs="Tahoma"/>
                <w:color w:val="auto"/>
                <w:kern w:val="0"/>
                <w:sz w:val="18"/>
                <w:szCs w:val="18"/>
                <w:highlight w:val="none"/>
              </w:rPr>
            </w:pPr>
          </w:p>
        </w:tc>
        <w:tc>
          <w:tcPr>
            <w:tcW w:w="3060"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w:t>
            </w:r>
          </w:p>
        </w:tc>
        <w:tc>
          <w:tcPr>
            <w:tcW w:w="1620"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Tahoma"/>
                <w:color w:val="auto"/>
                <w:sz w:val="18"/>
                <w:szCs w:val="18"/>
                <w:highlight w:val="none"/>
              </w:rPr>
            </w:pP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w:t>
            </w:r>
          </w:p>
        </w:tc>
        <w:tc>
          <w:tcPr>
            <w:tcW w:w="1440"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eastAsia="宋体" w:cs="宋体"/>
                <w:color w:val="auto"/>
                <w:kern w:val="0"/>
                <w:sz w:val="18"/>
                <w:szCs w:val="18"/>
                <w:highlight w:val="none"/>
              </w:rPr>
            </w:pPr>
          </w:p>
        </w:tc>
        <w:tc>
          <w:tcPr>
            <w:tcW w:w="3060"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eastAsia="宋体" w:cs="宋体"/>
                <w:color w:val="auto"/>
                <w:kern w:val="0"/>
                <w:sz w:val="18"/>
                <w:szCs w:val="18"/>
                <w:highlight w:val="none"/>
              </w:rPr>
            </w:pPr>
            <w:r>
              <w:rPr>
                <w:rFonts w:hint="eastAsia" w:ascii="宋体" w:hAnsi="宋体" w:eastAsia="宋体" w:cs="宋体"/>
                <w:color w:val="auto"/>
                <w:kern w:val="0"/>
                <w:sz w:val="18"/>
                <w:szCs w:val="18"/>
                <w:highlight w:val="none"/>
              </w:rPr>
              <w:t>　</w:t>
            </w:r>
          </w:p>
        </w:tc>
        <w:tc>
          <w:tcPr>
            <w:tcW w:w="162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eastAsia="宋体" w:cs="宋体"/>
                <w:color w:val="auto"/>
                <w:kern w:val="0"/>
                <w:sz w:val="18"/>
                <w:szCs w:val="18"/>
                <w:highlight w:val="none"/>
              </w:rPr>
            </w:pPr>
          </w:p>
        </w:tc>
      </w:tr>
      <w:tr>
        <w:tblPrEx>
          <w:tblCellMar>
            <w:top w:w="0" w:type="dxa"/>
            <w:left w:w="108" w:type="dxa"/>
            <w:bottom w:w="0" w:type="dxa"/>
            <w:right w:w="108" w:type="dxa"/>
          </w:tblCellMar>
        </w:tblPrEx>
        <w:trPr>
          <w:trHeight w:val="660" w:hRule="atLeast"/>
        </w:trPr>
        <w:tc>
          <w:tcPr>
            <w:tcW w:w="325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eastAsia="宋体" w:cs="宋体"/>
                <w:bCs/>
                <w:color w:val="auto"/>
                <w:kern w:val="0"/>
                <w:sz w:val="18"/>
                <w:szCs w:val="18"/>
                <w:highlight w:val="none"/>
              </w:rPr>
            </w:pPr>
            <w:r>
              <w:rPr>
                <w:rFonts w:hint="eastAsia" w:ascii="宋体" w:hAnsi="宋体" w:eastAsia="宋体" w:cs="宋体"/>
                <w:bCs/>
                <w:color w:val="auto"/>
                <w:kern w:val="0"/>
                <w:sz w:val="18"/>
                <w:szCs w:val="18"/>
                <w:highlight w:val="none"/>
              </w:rPr>
              <w:t>收入合计</w:t>
            </w:r>
          </w:p>
        </w:tc>
        <w:tc>
          <w:tcPr>
            <w:tcW w:w="144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宋体" w:hAnsi="宋体" w:eastAsia="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109301</w:t>
            </w:r>
          </w:p>
        </w:tc>
        <w:tc>
          <w:tcPr>
            <w:tcW w:w="30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eastAsia="宋体" w:cs="宋体"/>
                <w:bCs/>
                <w:color w:val="auto"/>
                <w:kern w:val="0"/>
                <w:sz w:val="18"/>
                <w:szCs w:val="18"/>
                <w:highlight w:val="none"/>
              </w:rPr>
            </w:pPr>
            <w:r>
              <w:rPr>
                <w:rFonts w:hint="eastAsia" w:ascii="宋体" w:hAnsi="宋体" w:eastAsia="宋体" w:cs="宋体"/>
                <w:bCs/>
                <w:color w:val="auto"/>
                <w:kern w:val="0"/>
                <w:sz w:val="18"/>
                <w:szCs w:val="18"/>
                <w:highlight w:val="none"/>
              </w:rPr>
              <w:t>支出合计</w:t>
            </w:r>
          </w:p>
        </w:tc>
        <w:tc>
          <w:tcPr>
            <w:tcW w:w="162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default" w:ascii="宋体" w:hAnsi="宋体" w:eastAsia="宋体" w:cs="Tahoma"/>
                <w:color w:val="auto"/>
                <w:kern w:val="0"/>
                <w:sz w:val="18"/>
                <w:szCs w:val="18"/>
                <w:highlight w:val="none"/>
                <w:lang w:val="en-US" w:eastAsia="zh-CN"/>
              </w:rPr>
            </w:pPr>
            <w:r>
              <w:rPr>
                <w:rFonts w:hint="eastAsia" w:ascii="宋体" w:hAnsi="宋体" w:cs="Tahoma"/>
                <w:color w:val="auto"/>
                <w:sz w:val="18"/>
                <w:szCs w:val="18"/>
                <w:highlight w:val="none"/>
                <w:lang w:val="en-US" w:eastAsia="zh-CN"/>
              </w:rPr>
              <w:t>56938</w:t>
            </w:r>
          </w:p>
        </w:tc>
      </w:tr>
      <w:tr>
        <w:trPr>
          <w:trHeight w:val="660" w:hRule="atLeast"/>
        </w:trPr>
        <w:tc>
          <w:tcPr>
            <w:tcW w:w="3255"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eastAsia="宋体" w:cs="宋体"/>
                <w:bCs/>
                <w:color w:val="auto"/>
                <w:kern w:val="0"/>
                <w:sz w:val="18"/>
                <w:szCs w:val="18"/>
                <w:highlight w:val="none"/>
              </w:rPr>
            </w:pPr>
            <w:r>
              <w:rPr>
                <w:rFonts w:hint="eastAsia" w:ascii="宋体" w:hAnsi="宋体" w:eastAsia="宋体" w:cs="宋体"/>
                <w:bCs/>
                <w:color w:val="auto"/>
                <w:kern w:val="0"/>
                <w:sz w:val="18"/>
                <w:szCs w:val="18"/>
                <w:highlight w:val="none"/>
              </w:rPr>
              <w:t>　</w:t>
            </w:r>
          </w:p>
        </w:tc>
        <w:tc>
          <w:tcPr>
            <w:tcW w:w="1440"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hAnsi="宋体" w:eastAsia="宋体" w:cs="宋体"/>
                <w:bCs/>
                <w:color w:val="auto"/>
                <w:kern w:val="0"/>
                <w:sz w:val="18"/>
                <w:szCs w:val="18"/>
                <w:highlight w:val="none"/>
              </w:rPr>
            </w:pPr>
            <w:r>
              <w:rPr>
                <w:rFonts w:hint="eastAsia" w:ascii="宋体" w:hAnsi="宋体" w:eastAsia="宋体" w:cs="宋体"/>
                <w:bCs/>
                <w:color w:val="auto"/>
                <w:kern w:val="0"/>
                <w:sz w:val="18"/>
                <w:szCs w:val="18"/>
                <w:highlight w:val="none"/>
              </w:rPr>
              <w:t>　</w:t>
            </w:r>
          </w:p>
        </w:tc>
        <w:tc>
          <w:tcPr>
            <w:tcW w:w="30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eastAsia="宋体" w:cs="宋体"/>
                <w:bCs/>
                <w:color w:val="auto"/>
                <w:kern w:val="0"/>
                <w:sz w:val="18"/>
                <w:szCs w:val="18"/>
                <w:highlight w:val="none"/>
              </w:rPr>
            </w:pPr>
            <w:r>
              <w:rPr>
                <w:rFonts w:hint="eastAsia" w:ascii="宋体" w:hAnsi="宋体" w:eastAsia="宋体" w:cs="宋体"/>
                <w:bCs/>
                <w:color w:val="auto"/>
                <w:kern w:val="0"/>
                <w:sz w:val="18"/>
                <w:szCs w:val="18"/>
                <w:highlight w:val="none"/>
              </w:rPr>
              <w:t>结转下年</w:t>
            </w:r>
          </w:p>
        </w:tc>
        <w:tc>
          <w:tcPr>
            <w:tcW w:w="162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hAnsi="宋体" w:eastAsia="宋体" w:cs="Tahoma"/>
                <w:color w:val="auto"/>
                <w:sz w:val="18"/>
                <w:szCs w:val="18"/>
                <w:highlight w:val="none"/>
                <w:lang w:val="en-US" w:eastAsia="zh-CN"/>
              </w:rPr>
            </w:pPr>
            <w:r>
              <w:rPr>
                <w:rFonts w:hint="eastAsia" w:ascii="宋体" w:hAnsi="宋体" w:cs="Tahoma"/>
                <w:color w:val="auto"/>
                <w:sz w:val="18"/>
                <w:szCs w:val="18"/>
                <w:highlight w:val="none"/>
                <w:lang w:val="en-US" w:eastAsia="zh-CN"/>
              </w:rPr>
              <w:t>52363</w:t>
            </w:r>
          </w:p>
        </w:tc>
      </w:tr>
    </w:tbl>
    <w:p>
      <w:pPr>
        <w:pStyle w:val="5"/>
        <w:ind w:left="0" w:leftChars="0" w:firstLine="0" w:firstLineChars="0"/>
        <w:rPr>
          <w:color w:val="auto"/>
          <w:highlight w:val="none"/>
        </w:rPr>
      </w:pPr>
    </w:p>
    <w:p>
      <w:pPr>
        <w:rPr>
          <w:color w:val="auto"/>
          <w:highlight w:val="none"/>
        </w:rPr>
      </w:pPr>
    </w:p>
    <w:p>
      <w:pPr>
        <w:pStyle w:val="5"/>
        <w:rPr>
          <w:color w:val="auto"/>
          <w:highlight w:val="none"/>
        </w:rPr>
      </w:pPr>
    </w:p>
    <w:p>
      <w:pPr>
        <w:rPr>
          <w:rFonts w:ascii="黑体" w:hAnsi="黑体" w:eastAsia="黑体" w:cs="宋体"/>
          <w:color w:val="auto"/>
          <w:kern w:val="0"/>
          <w:sz w:val="32"/>
          <w:szCs w:val="32"/>
          <w:highlight w:val="none"/>
        </w:rPr>
      </w:pPr>
      <w:r>
        <w:rPr>
          <w:rFonts w:hint="eastAsia" w:ascii="黑体" w:hAnsi="黑体" w:eastAsia="黑体" w:cs="宋体"/>
          <w:color w:val="auto"/>
          <w:kern w:val="0"/>
          <w:sz w:val="36"/>
          <w:szCs w:val="36"/>
          <w:highlight w:val="none"/>
          <w:lang w:val="en-US" w:eastAsia="zh-CN"/>
        </w:rPr>
        <w:t>附件3</w:t>
      </w:r>
      <w:r>
        <w:rPr>
          <w:rFonts w:hint="eastAsia" w:ascii="黑体" w:hAnsi="黑体" w:eastAsia="黑体" w:cs="宋体"/>
          <w:color w:val="auto"/>
          <w:kern w:val="0"/>
          <w:sz w:val="36"/>
          <w:szCs w:val="36"/>
          <w:highlight w:val="none"/>
        </w:rPr>
        <w:t>-0</w:t>
      </w:r>
      <w:r>
        <w:rPr>
          <w:rFonts w:hint="eastAsia" w:ascii="黑体" w:hAnsi="黑体" w:eastAsia="黑体" w:cs="宋体"/>
          <w:color w:val="auto"/>
          <w:kern w:val="0"/>
          <w:sz w:val="36"/>
          <w:szCs w:val="36"/>
          <w:highlight w:val="none"/>
          <w:lang w:val="en-US" w:eastAsia="zh-CN"/>
        </w:rPr>
        <w:t>4</w:t>
      </w:r>
      <w:r>
        <w:rPr>
          <w:rFonts w:hint="eastAsia" w:ascii="黑体" w:hAnsi="黑体" w:eastAsia="黑体" w:cs="宋体"/>
          <w:color w:val="auto"/>
          <w:kern w:val="0"/>
          <w:sz w:val="36"/>
          <w:szCs w:val="36"/>
          <w:highlight w:val="none"/>
        </w:rPr>
        <w:t xml:space="preserve"> </w:t>
      </w:r>
    </w:p>
    <w:p>
      <w:pPr>
        <w:jc w:val="center"/>
        <w:rPr>
          <w:rFonts w:ascii="方正小标宋简体" w:hAnsi="宋体" w:eastAsia="方正小标宋简体" w:cs="宋体"/>
          <w:color w:val="auto"/>
          <w:sz w:val="36"/>
          <w:szCs w:val="36"/>
          <w:highlight w:val="none"/>
        </w:rPr>
      </w:pPr>
      <w:r>
        <w:rPr>
          <w:rFonts w:hint="eastAsia" w:ascii="方正小标宋简体" w:eastAsia="方正小标宋简体"/>
          <w:color w:val="auto"/>
          <w:sz w:val="36"/>
          <w:szCs w:val="36"/>
          <w:highlight w:val="none"/>
          <w:lang w:eastAsia="zh-CN"/>
        </w:rPr>
        <w:t>2022年</w:t>
      </w:r>
      <w:r>
        <w:rPr>
          <w:rFonts w:hint="eastAsia" w:ascii="方正小标宋简体" w:eastAsia="方正小标宋简体"/>
          <w:color w:val="auto"/>
          <w:sz w:val="36"/>
          <w:szCs w:val="36"/>
          <w:highlight w:val="none"/>
        </w:rPr>
        <w:t>国有</w:t>
      </w:r>
      <w:r>
        <w:rPr>
          <w:rFonts w:ascii="方正小标宋简体" w:eastAsia="方正小标宋简体"/>
          <w:color w:val="auto"/>
          <w:sz w:val="36"/>
          <w:szCs w:val="36"/>
          <w:highlight w:val="none"/>
        </w:rPr>
        <w:t>资本经营</w:t>
      </w:r>
      <w:r>
        <w:rPr>
          <w:rFonts w:hint="eastAsia" w:ascii="方正小标宋简体" w:eastAsia="方正小标宋简体"/>
          <w:color w:val="auto"/>
          <w:sz w:val="36"/>
          <w:szCs w:val="36"/>
          <w:highlight w:val="none"/>
        </w:rPr>
        <w:t>预算（草案）计划表</w:t>
      </w:r>
    </w:p>
    <w:p>
      <w:pPr>
        <w:rPr>
          <w:rFonts w:ascii="宋体" w:hAnsi="宋体" w:cs="宋体"/>
          <w:color w:val="auto"/>
          <w:sz w:val="24"/>
          <w:highlight w:val="none"/>
        </w:rPr>
      </w:pPr>
      <w:r>
        <w:rPr>
          <w:rFonts w:hint="eastAsia" w:ascii="仿宋_GB2312" w:hAnsi="宋体" w:eastAsia="仿宋_GB2312" w:cs="宋体"/>
          <w:color w:val="auto"/>
          <w:kern w:val="0"/>
          <w:sz w:val="32"/>
          <w:szCs w:val="32"/>
          <w:highlight w:val="none"/>
        </w:rPr>
        <w:t xml:space="preserve">                                                 </w:t>
      </w:r>
      <w:r>
        <w:rPr>
          <w:rFonts w:hint="eastAsia"/>
          <w:color w:val="auto"/>
          <w:highlight w:val="none"/>
        </w:rPr>
        <w:t>单位：万元</w:t>
      </w:r>
    </w:p>
    <w:tbl>
      <w:tblPr>
        <w:tblStyle w:val="11"/>
        <w:tblW w:w="9375" w:type="dxa"/>
        <w:tblInd w:w="93" w:type="dxa"/>
        <w:tblLayout w:type="autofit"/>
        <w:tblCellMar>
          <w:top w:w="0" w:type="dxa"/>
          <w:left w:w="108" w:type="dxa"/>
          <w:bottom w:w="0" w:type="dxa"/>
          <w:right w:w="108" w:type="dxa"/>
        </w:tblCellMar>
      </w:tblPr>
      <w:tblGrid>
        <w:gridCol w:w="3255"/>
        <w:gridCol w:w="1440"/>
        <w:gridCol w:w="3060"/>
        <w:gridCol w:w="1620"/>
      </w:tblGrid>
      <w:tr>
        <w:tblPrEx>
          <w:tblCellMar>
            <w:top w:w="0" w:type="dxa"/>
            <w:left w:w="108" w:type="dxa"/>
            <w:bottom w:w="0" w:type="dxa"/>
            <w:right w:w="108" w:type="dxa"/>
          </w:tblCellMar>
        </w:tblPrEx>
        <w:trPr>
          <w:trHeight w:val="705" w:hRule="atLeast"/>
        </w:trPr>
        <w:tc>
          <w:tcPr>
            <w:tcW w:w="4695"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b/>
                <w:bCs/>
                <w:color w:val="auto"/>
                <w:kern w:val="0"/>
                <w:sz w:val="28"/>
                <w:szCs w:val="28"/>
                <w:highlight w:val="none"/>
              </w:rPr>
            </w:pPr>
            <w:r>
              <w:rPr>
                <w:rFonts w:hint="eastAsia" w:ascii="宋体" w:hAnsi="宋体" w:cs="宋体"/>
                <w:b/>
                <w:bCs/>
                <w:color w:val="auto"/>
                <w:kern w:val="0"/>
                <w:sz w:val="28"/>
                <w:szCs w:val="28"/>
                <w:highlight w:val="none"/>
              </w:rPr>
              <w:t>收 入 预 算</w:t>
            </w:r>
          </w:p>
        </w:tc>
        <w:tc>
          <w:tcPr>
            <w:tcW w:w="4680" w:type="dxa"/>
            <w:gridSpan w:val="2"/>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b/>
                <w:bCs/>
                <w:color w:val="auto"/>
                <w:kern w:val="0"/>
                <w:sz w:val="28"/>
                <w:szCs w:val="28"/>
                <w:highlight w:val="none"/>
              </w:rPr>
            </w:pPr>
            <w:r>
              <w:rPr>
                <w:rFonts w:hint="eastAsia" w:ascii="宋体" w:hAnsi="宋体" w:cs="宋体"/>
                <w:b/>
                <w:bCs/>
                <w:color w:val="auto"/>
                <w:kern w:val="0"/>
                <w:sz w:val="28"/>
                <w:szCs w:val="28"/>
                <w:highlight w:val="none"/>
              </w:rPr>
              <w:t>支 出 预 算</w:t>
            </w:r>
          </w:p>
        </w:tc>
      </w:tr>
      <w:tr>
        <w:tblPrEx>
          <w:tblCellMar>
            <w:top w:w="0" w:type="dxa"/>
            <w:left w:w="108" w:type="dxa"/>
            <w:bottom w:w="0" w:type="dxa"/>
            <w:right w:w="108" w:type="dxa"/>
          </w:tblCellMar>
        </w:tblPrEx>
        <w:trPr>
          <w:trHeight w:val="705" w:hRule="atLeast"/>
        </w:trPr>
        <w:tc>
          <w:tcPr>
            <w:tcW w:w="3255"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项    目</w:t>
            </w:r>
          </w:p>
        </w:tc>
        <w:tc>
          <w:tcPr>
            <w:tcW w:w="1440" w:type="dxa"/>
            <w:tcBorders>
              <w:top w:val="nil"/>
              <w:left w:val="nil"/>
              <w:bottom w:val="single" w:color="auto" w:sz="4" w:space="0"/>
              <w:right w:val="single" w:color="auto" w:sz="4" w:space="0"/>
            </w:tcBorders>
            <w:noWrap w:val="0"/>
            <w:vAlign w:val="center"/>
          </w:tcPr>
          <w:p>
            <w:pPr>
              <w:widowControl/>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金  额</w:t>
            </w:r>
          </w:p>
        </w:tc>
        <w:tc>
          <w:tcPr>
            <w:tcW w:w="3060" w:type="dxa"/>
            <w:tcBorders>
              <w:top w:val="nil"/>
              <w:left w:val="nil"/>
              <w:bottom w:val="single" w:color="auto" w:sz="4" w:space="0"/>
              <w:right w:val="single" w:color="auto" w:sz="4" w:space="0"/>
            </w:tcBorders>
            <w:noWrap w:val="0"/>
            <w:vAlign w:val="center"/>
          </w:tcPr>
          <w:p>
            <w:pPr>
              <w:widowControl/>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项    目</w:t>
            </w:r>
          </w:p>
        </w:tc>
        <w:tc>
          <w:tcPr>
            <w:tcW w:w="1620" w:type="dxa"/>
            <w:tcBorders>
              <w:top w:val="nil"/>
              <w:left w:val="nil"/>
              <w:bottom w:val="single" w:color="auto" w:sz="4" w:space="0"/>
              <w:right w:val="single" w:color="auto" w:sz="4" w:space="0"/>
            </w:tcBorders>
            <w:noWrap w:val="0"/>
            <w:vAlign w:val="center"/>
          </w:tcPr>
          <w:p>
            <w:pPr>
              <w:widowControl/>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金  额</w:t>
            </w:r>
          </w:p>
        </w:tc>
      </w:tr>
      <w:tr>
        <w:tblPrEx>
          <w:tblCellMar>
            <w:top w:w="0" w:type="dxa"/>
            <w:left w:w="108" w:type="dxa"/>
            <w:bottom w:w="0" w:type="dxa"/>
            <w:right w:w="108" w:type="dxa"/>
          </w:tblCellMar>
        </w:tblPrEx>
        <w:trPr>
          <w:trHeight w:val="705" w:hRule="atLeast"/>
        </w:trPr>
        <w:tc>
          <w:tcPr>
            <w:tcW w:w="3255"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一、本年收入</w:t>
            </w:r>
          </w:p>
        </w:tc>
        <w:tc>
          <w:tcPr>
            <w:tcW w:w="1440" w:type="dxa"/>
            <w:tcBorders>
              <w:top w:val="nil"/>
              <w:left w:val="nil"/>
              <w:bottom w:val="single" w:color="auto" w:sz="4" w:space="0"/>
              <w:right w:val="single" w:color="auto" w:sz="4" w:space="0"/>
            </w:tcBorders>
            <w:noWrap w:val="0"/>
            <w:vAlign w:val="center"/>
          </w:tcPr>
          <w:p>
            <w:pPr>
              <w:widowControl/>
              <w:jc w:val="center"/>
              <w:rPr>
                <w:rFonts w:hint="default" w:ascii="宋体" w:hAnsi="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685</w:t>
            </w:r>
          </w:p>
        </w:tc>
        <w:tc>
          <w:tcPr>
            <w:tcW w:w="3060" w:type="dxa"/>
            <w:tcBorders>
              <w:top w:val="nil"/>
              <w:left w:val="nil"/>
              <w:bottom w:val="single" w:color="auto" w:sz="4" w:space="0"/>
              <w:right w:val="single" w:color="auto" w:sz="4" w:space="0"/>
            </w:tcBorders>
            <w:noWrap w:val="0"/>
            <w:vAlign w:val="center"/>
          </w:tcPr>
          <w:p>
            <w:pPr>
              <w:widowControl/>
              <w:jc w:val="left"/>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一、本年支出</w:t>
            </w:r>
          </w:p>
        </w:tc>
        <w:tc>
          <w:tcPr>
            <w:tcW w:w="1620" w:type="dxa"/>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469</w:t>
            </w: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noWrap w:val="0"/>
            <w:vAlign w:val="center"/>
          </w:tcPr>
          <w:p>
            <w:pPr>
              <w:widowControl/>
              <w:ind w:firstLine="270" w:firstLineChars="150"/>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利润收入</w:t>
            </w:r>
          </w:p>
        </w:tc>
        <w:tc>
          <w:tcPr>
            <w:tcW w:w="1440"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447</w:t>
            </w:r>
          </w:p>
        </w:tc>
        <w:tc>
          <w:tcPr>
            <w:tcW w:w="3060" w:type="dxa"/>
            <w:tcBorders>
              <w:top w:val="nil"/>
              <w:left w:val="nil"/>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xml:space="preserve">  解决</w:t>
            </w:r>
            <w:r>
              <w:rPr>
                <w:rFonts w:ascii="宋体" w:hAnsi="宋体" w:cs="宋体"/>
                <w:color w:val="auto"/>
                <w:kern w:val="0"/>
                <w:sz w:val="18"/>
                <w:szCs w:val="18"/>
                <w:highlight w:val="none"/>
              </w:rPr>
              <w:t>历史遗留及改革成本支出</w:t>
            </w:r>
          </w:p>
        </w:tc>
        <w:tc>
          <w:tcPr>
            <w:tcW w:w="1620"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22</w:t>
            </w: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noWrap w:val="0"/>
            <w:vAlign w:val="center"/>
          </w:tcPr>
          <w:p>
            <w:pPr>
              <w:widowControl/>
              <w:ind w:firstLine="270" w:firstLineChars="150"/>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股利、</w:t>
            </w:r>
            <w:r>
              <w:rPr>
                <w:rFonts w:ascii="宋体" w:hAnsi="宋体" w:cs="宋体"/>
                <w:color w:val="auto"/>
                <w:kern w:val="0"/>
                <w:sz w:val="18"/>
                <w:szCs w:val="18"/>
                <w:highlight w:val="none"/>
              </w:rPr>
              <w:t>利息收入</w:t>
            </w:r>
          </w:p>
        </w:tc>
        <w:tc>
          <w:tcPr>
            <w:tcW w:w="1440" w:type="dxa"/>
            <w:tcBorders>
              <w:top w:val="nil"/>
              <w:left w:val="nil"/>
              <w:bottom w:val="single" w:color="auto" w:sz="4" w:space="0"/>
              <w:right w:val="single" w:color="auto" w:sz="4" w:space="0"/>
            </w:tcBorders>
            <w:noWrap/>
            <w:vAlign w:val="center"/>
          </w:tcPr>
          <w:p>
            <w:pPr>
              <w:widowControl/>
              <w:jc w:val="center"/>
              <w:rPr>
                <w:rFonts w:hint="default"/>
                <w:color w:val="auto"/>
                <w:highlight w:val="none"/>
                <w:lang w:val="en-US" w:eastAsia="zh-CN"/>
              </w:rPr>
            </w:pPr>
            <w:r>
              <w:rPr>
                <w:rFonts w:hint="eastAsia" w:ascii="宋体" w:hAnsi="宋体" w:eastAsia="宋体" w:cs="宋体"/>
                <w:color w:val="auto"/>
                <w:kern w:val="0"/>
                <w:sz w:val="18"/>
                <w:szCs w:val="18"/>
                <w:highlight w:val="none"/>
                <w:lang w:val="en-US" w:eastAsia="zh-CN"/>
              </w:rPr>
              <w:t>238</w:t>
            </w:r>
          </w:p>
        </w:tc>
        <w:tc>
          <w:tcPr>
            <w:tcW w:w="3060" w:type="dxa"/>
            <w:tcBorders>
              <w:top w:val="nil"/>
              <w:left w:val="nil"/>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xml:space="preserve">  国有</w:t>
            </w:r>
            <w:r>
              <w:rPr>
                <w:rFonts w:ascii="宋体" w:hAnsi="宋体" w:cs="宋体"/>
                <w:color w:val="auto"/>
                <w:kern w:val="0"/>
                <w:sz w:val="18"/>
                <w:szCs w:val="18"/>
                <w:highlight w:val="none"/>
              </w:rPr>
              <w:t>企业资本金注入</w:t>
            </w:r>
          </w:p>
        </w:tc>
        <w:tc>
          <w:tcPr>
            <w:tcW w:w="1620"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372</w:t>
            </w: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xml:space="preserve">   产权转让</w:t>
            </w:r>
            <w:r>
              <w:rPr>
                <w:rFonts w:ascii="宋体" w:hAnsi="宋体" w:cs="宋体"/>
                <w:color w:val="auto"/>
                <w:kern w:val="0"/>
                <w:sz w:val="18"/>
                <w:szCs w:val="18"/>
                <w:highlight w:val="none"/>
              </w:rPr>
              <w:t>收入</w:t>
            </w:r>
          </w:p>
        </w:tc>
        <w:tc>
          <w:tcPr>
            <w:tcW w:w="1440"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18"/>
                <w:szCs w:val="18"/>
                <w:highlight w:val="none"/>
              </w:rPr>
            </w:pPr>
          </w:p>
        </w:tc>
        <w:tc>
          <w:tcPr>
            <w:tcW w:w="3060" w:type="dxa"/>
            <w:tcBorders>
              <w:top w:val="nil"/>
              <w:left w:val="nil"/>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xml:space="preserve">  国有</w:t>
            </w:r>
            <w:r>
              <w:rPr>
                <w:rFonts w:ascii="宋体" w:hAnsi="宋体" w:cs="宋体"/>
                <w:color w:val="auto"/>
                <w:kern w:val="0"/>
                <w:sz w:val="18"/>
                <w:szCs w:val="18"/>
                <w:highlight w:val="none"/>
              </w:rPr>
              <w:t>企业政策性</w:t>
            </w:r>
            <w:r>
              <w:rPr>
                <w:rFonts w:hint="eastAsia" w:ascii="宋体" w:hAnsi="宋体" w:cs="宋体"/>
                <w:color w:val="auto"/>
                <w:kern w:val="0"/>
                <w:sz w:val="18"/>
                <w:szCs w:val="18"/>
                <w:highlight w:val="none"/>
              </w:rPr>
              <w:t>补贴</w:t>
            </w:r>
          </w:p>
        </w:tc>
        <w:tc>
          <w:tcPr>
            <w:tcW w:w="1620"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xml:space="preserve">   清算收入</w:t>
            </w:r>
          </w:p>
        </w:tc>
        <w:tc>
          <w:tcPr>
            <w:tcW w:w="1440"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18"/>
                <w:szCs w:val="18"/>
                <w:highlight w:val="none"/>
              </w:rPr>
            </w:pPr>
          </w:p>
        </w:tc>
        <w:tc>
          <w:tcPr>
            <w:tcW w:w="3060" w:type="dxa"/>
            <w:tcBorders>
              <w:top w:val="nil"/>
              <w:left w:val="nil"/>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xml:space="preserve">  金融</w:t>
            </w:r>
            <w:r>
              <w:rPr>
                <w:rFonts w:ascii="宋体" w:hAnsi="宋体" w:cs="宋体"/>
                <w:color w:val="auto"/>
                <w:kern w:val="0"/>
                <w:sz w:val="18"/>
                <w:szCs w:val="18"/>
                <w:highlight w:val="none"/>
              </w:rPr>
              <w:t>国有资本经营预算支出</w:t>
            </w:r>
          </w:p>
        </w:tc>
        <w:tc>
          <w:tcPr>
            <w:tcW w:w="1620"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xml:space="preserve">   其他国有</w:t>
            </w:r>
            <w:r>
              <w:rPr>
                <w:rFonts w:ascii="宋体" w:hAnsi="宋体" w:cs="宋体"/>
                <w:color w:val="auto"/>
                <w:kern w:val="0"/>
                <w:sz w:val="18"/>
                <w:szCs w:val="18"/>
                <w:highlight w:val="none"/>
              </w:rPr>
              <w:t>资本经营收入</w:t>
            </w:r>
          </w:p>
        </w:tc>
        <w:tc>
          <w:tcPr>
            <w:tcW w:w="1440"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18"/>
                <w:szCs w:val="18"/>
                <w:highlight w:val="none"/>
              </w:rPr>
            </w:pPr>
          </w:p>
        </w:tc>
        <w:tc>
          <w:tcPr>
            <w:tcW w:w="3060" w:type="dxa"/>
            <w:tcBorders>
              <w:top w:val="nil"/>
              <w:left w:val="nil"/>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xml:space="preserve">  其他</w:t>
            </w:r>
            <w:r>
              <w:rPr>
                <w:rFonts w:ascii="宋体" w:hAnsi="宋体" w:cs="宋体"/>
                <w:color w:val="auto"/>
                <w:kern w:val="0"/>
                <w:sz w:val="18"/>
                <w:szCs w:val="18"/>
                <w:highlight w:val="none"/>
              </w:rPr>
              <w:t>国有资本经营预算支出</w:t>
            </w:r>
          </w:p>
        </w:tc>
        <w:tc>
          <w:tcPr>
            <w:tcW w:w="1620"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75</w:t>
            </w: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p>
        </w:tc>
        <w:tc>
          <w:tcPr>
            <w:tcW w:w="1440"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18"/>
                <w:szCs w:val="18"/>
                <w:highlight w:val="none"/>
              </w:rPr>
            </w:pPr>
          </w:p>
        </w:tc>
        <w:tc>
          <w:tcPr>
            <w:tcW w:w="3060" w:type="dxa"/>
            <w:tcBorders>
              <w:top w:val="nil"/>
              <w:left w:val="nil"/>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p>
        </w:tc>
        <w:tc>
          <w:tcPr>
            <w:tcW w:w="1620"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r>
              <w:rPr>
                <w:rFonts w:hint="eastAsia" w:ascii="宋体" w:hAnsi="宋体" w:cs="宋体"/>
                <w:bCs/>
                <w:color w:val="auto"/>
                <w:kern w:val="0"/>
                <w:sz w:val="18"/>
                <w:szCs w:val="18"/>
                <w:highlight w:val="none"/>
              </w:rPr>
              <w:t>二、转移性</w:t>
            </w:r>
            <w:r>
              <w:rPr>
                <w:rFonts w:ascii="宋体" w:hAnsi="宋体" w:cs="宋体"/>
                <w:bCs/>
                <w:color w:val="auto"/>
                <w:kern w:val="0"/>
                <w:sz w:val="18"/>
                <w:szCs w:val="18"/>
                <w:highlight w:val="none"/>
              </w:rPr>
              <w:t>收入</w:t>
            </w:r>
          </w:p>
        </w:tc>
        <w:tc>
          <w:tcPr>
            <w:tcW w:w="1440"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18"/>
                <w:szCs w:val="18"/>
                <w:highlight w:val="none"/>
              </w:rPr>
            </w:pPr>
          </w:p>
        </w:tc>
        <w:tc>
          <w:tcPr>
            <w:tcW w:w="3060" w:type="dxa"/>
            <w:tcBorders>
              <w:top w:val="nil"/>
              <w:left w:val="nil"/>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二</w:t>
            </w:r>
            <w:r>
              <w:rPr>
                <w:rFonts w:ascii="宋体" w:hAnsi="宋体" w:cs="宋体"/>
                <w:color w:val="auto"/>
                <w:kern w:val="0"/>
                <w:sz w:val="18"/>
                <w:szCs w:val="18"/>
                <w:highlight w:val="none"/>
              </w:rPr>
              <w:t>、转移性支出</w:t>
            </w:r>
          </w:p>
        </w:tc>
        <w:tc>
          <w:tcPr>
            <w:tcW w:w="1620"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238</w:t>
            </w: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三</w:t>
            </w:r>
            <w:r>
              <w:rPr>
                <w:rFonts w:ascii="宋体" w:hAnsi="宋体" w:cs="宋体"/>
                <w:color w:val="auto"/>
                <w:kern w:val="0"/>
                <w:sz w:val="18"/>
                <w:szCs w:val="18"/>
                <w:highlight w:val="none"/>
              </w:rPr>
              <w:t>、上年结转</w:t>
            </w:r>
          </w:p>
        </w:tc>
        <w:tc>
          <w:tcPr>
            <w:tcW w:w="1440"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22</w:t>
            </w:r>
          </w:p>
        </w:tc>
        <w:tc>
          <w:tcPr>
            <w:tcW w:w="3060" w:type="dxa"/>
            <w:tcBorders>
              <w:top w:val="nil"/>
              <w:left w:val="nil"/>
              <w:bottom w:val="single" w:color="auto" w:sz="4" w:space="0"/>
              <w:right w:val="single" w:color="auto" w:sz="4" w:space="0"/>
            </w:tcBorders>
            <w:noWrap w:val="0"/>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xml:space="preserve">  调出</w:t>
            </w:r>
            <w:r>
              <w:rPr>
                <w:rFonts w:ascii="宋体" w:hAnsi="宋体" w:cs="宋体"/>
                <w:color w:val="auto"/>
                <w:kern w:val="0"/>
                <w:sz w:val="18"/>
                <w:szCs w:val="18"/>
                <w:highlight w:val="none"/>
              </w:rPr>
              <w:t>资金</w:t>
            </w:r>
          </w:p>
        </w:tc>
        <w:tc>
          <w:tcPr>
            <w:tcW w:w="1620"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color w:val="auto"/>
                <w:kern w:val="0"/>
                <w:sz w:val="18"/>
                <w:szCs w:val="18"/>
                <w:highlight w:val="none"/>
                <w:lang w:val="en-US" w:eastAsia="zh-CN"/>
              </w:rPr>
            </w:pPr>
            <w:r>
              <w:rPr>
                <w:rFonts w:hint="eastAsia" w:ascii="宋体" w:hAnsi="宋体" w:cs="宋体"/>
                <w:color w:val="auto"/>
                <w:kern w:val="0"/>
                <w:sz w:val="18"/>
                <w:szCs w:val="18"/>
                <w:highlight w:val="none"/>
                <w:lang w:val="en-US" w:eastAsia="zh-CN"/>
              </w:rPr>
              <w:t>238</w:t>
            </w: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bCs/>
                <w:color w:val="auto"/>
                <w:kern w:val="0"/>
                <w:sz w:val="18"/>
                <w:szCs w:val="18"/>
                <w:highlight w:val="none"/>
              </w:rPr>
            </w:pPr>
          </w:p>
        </w:tc>
        <w:tc>
          <w:tcPr>
            <w:tcW w:w="144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18"/>
                <w:szCs w:val="18"/>
                <w:highlight w:val="none"/>
              </w:rPr>
            </w:pPr>
          </w:p>
        </w:tc>
        <w:tc>
          <w:tcPr>
            <w:tcW w:w="3060" w:type="dxa"/>
            <w:tcBorders>
              <w:top w:val="nil"/>
              <w:left w:val="nil"/>
              <w:bottom w:val="single" w:color="auto" w:sz="4" w:space="0"/>
              <w:right w:val="single" w:color="auto" w:sz="4" w:space="0"/>
            </w:tcBorders>
            <w:noWrap/>
            <w:vAlign w:val="center"/>
          </w:tcPr>
          <w:p>
            <w:pPr>
              <w:widowControl/>
              <w:jc w:val="left"/>
              <w:rPr>
                <w:rFonts w:ascii="宋体" w:hAnsi="宋体" w:cs="宋体"/>
                <w:color w:val="auto"/>
                <w:kern w:val="0"/>
                <w:sz w:val="18"/>
                <w:szCs w:val="18"/>
                <w:highlight w:val="none"/>
              </w:rPr>
            </w:pPr>
          </w:p>
        </w:tc>
        <w:tc>
          <w:tcPr>
            <w:tcW w:w="1620"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　</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color w:val="auto"/>
                <w:kern w:val="0"/>
                <w:sz w:val="18"/>
                <w:szCs w:val="18"/>
                <w:highlight w:val="none"/>
              </w:rPr>
            </w:pPr>
          </w:p>
        </w:tc>
        <w:tc>
          <w:tcPr>
            <w:tcW w:w="3060" w:type="dxa"/>
            <w:tcBorders>
              <w:top w:val="nil"/>
              <w:left w:val="nil"/>
              <w:bottom w:val="single" w:color="auto" w:sz="4" w:space="0"/>
              <w:right w:val="single" w:color="auto" w:sz="4" w:space="0"/>
            </w:tcBorders>
            <w:noWrap/>
            <w:vAlign w:val="center"/>
          </w:tcPr>
          <w:p>
            <w:pPr>
              <w:widowControl/>
              <w:jc w:val="left"/>
              <w:rPr>
                <w:rFonts w:ascii="宋体" w:hAnsi="宋体" w:cs="宋体"/>
                <w:color w:val="auto"/>
                <w:kern w:val="0"/>
                <w:sz w:val="18"/>
                <w:szCs w:val="18"/>
                <w:highlight w:val="none"/>
              </w:rPr>
            </w:pPr>
          </w:p>
        </w:tc>
        <w:tc>
          <w:tcPr>
            <w:tcW w:w="1620" w:type="dxa"/>
            <w:tcBorders>
              <w:top w:val="nil"/>
              <w:left w:val="nil"/>
              <w:bottom w:val="single" w:color="auto" w:sz="4" w:space="0"/>
              <w:right w:val="single" w:color="auto" w:sz="4" w:space="0"/>
            </w:tcBorders>
            <w:noWrap/>
            <w:vAlign w:val="center"/>
          </w:tcPr>
          <w:p>
            <w:pPr>
              <w:widowControl/>
              <w:jc w:val="center"/>
              <w:rPr>
                <w:rFonts w:ascii="宋体" w:hAnsi="宋体" w:cs="宋体"/>
                <w:color w:val="auto"/>
                <w:kern w:val="0"/>
                <w:sz w:val="18"/>
                <w:szCs w:val="18"/>
                <w:highlight w:val="none"/>
              </w:rPr>
            </w:pPr>
          </w:p>
        </w:tc>
      </w:tr>
      <w:tr>
        <w:tblPrEx>
          <w:tblCellMar>
            <w:top w:w="0" w:type="dxa"/>
            <w:left w:w="108" w:type="dxa"/>
            <w:bottom w:w="0" w:type="dxa"/>
            <w:right w:w="108" w:type="dxa"/>
          </w:tblCellMar>
        </w:tblPrEx>
        <w:trPr>
          <w:trHeight w:val="660" w:hRule="atLeast"/>
        </w:trPr>
        <w:tc>
          <w:tcPr>
            <w:tcW w:w="3255"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收入合计</w:t>
            </w:r>
          </w:p>
        </w:tc>
        <w:tc>
          <w:tcPr>
            <w:tcW w:w="1440"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707</w:t>
            </w:r>
          </w:p>
        </w:tc>
        <w:tc>
          <w:tcPr>
            <w:tcW w:w="3060" w:type="dxa"/>
            <w:tcBorders>
              <w:top w:val="nil"/>
              <w:left w:val="nil"/>
              <w:bottom w:val="single" w:color="auto" w:sz="4" w:space="0"/>
              <w:right w:val="single" w:color="auto" w:sz="4" w:space="0"/>
            </w:tcBorders>
            <w:noWrap/>
            <w:vAlign w:val="center"/>
          </w:tcPr>
          <w:p>
            <w:pPr>
              <w:widowControl/>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支出合计</w:t>
            </w:r>
          </w:p>
        </w:tc>
        <w:tc>
          <w:tcPr>
            <w:tcW w:w="1620" w:type="dxa"/>
            <w:tcBorders>
              <w:top w:val="nil"/>
              <w:left w:val="nil"/>
              <w:bottom w:val="single" w:color="auto" w:sz="4" w:space="0"/>
              <w:right w:val="single" w:color="auto" w:sz="4" w:space="0"/>
            </w:tcBorders>
            <w:noWrap/>
            <w:vAlign w:val="center"/>
          </w:tcPr>
          <w:p>
            <w:pPr>
              <w:widowControl/>
              <w:jc w:val="center"/>
              <w:rPr>
                <w:rFonts w:hint="default" w:ascii="宋体" w:hAnsi="宋体" w:eastAsia="宋体" w:cs="宋体"/>
                <w:bCs/>
                <w:color w:val="auto"/>
                <w:kern w:val="0"/>
                <w:sz w:val="18"/>
                <w:szCs w:val="18"/>
                <w:highlight w:val="none"/>
                <w:lang w:val="en-US" w:eastAsia="zh-CN"/>
              </w:rPr>
            </w:pPr>
            <w:r>
              <w:rPr>
                <w:rFonts w:hint="eastAsia" w:ascii="宋体" w:hAnsi="宋体" w:cs="宋体"/>
                <w:bCs/>
                <w:color w:val="auto"/>
                <w:kern w:val="0"/>
                <w:sz w:val="18"/>
                <w:szCs w:val="18"/>
                <w:highlight w:val="none"/>
                <w:lang w:val="en-US" w:eastAsia="zh-CN"/>
              </w:rPr>
              <w:t>707</w:t>
            </w:r>
          </w:p>
        </w:tc>
      </w:tr>
    </w:tbl>
    <w:p>
      <w:pPr>
        <w:rPr>
          <w:color w:val="auto"/>
          <w:highlight w:val="none"/>
        </w:rPr>
      </w:pPr>
    </w:p>
    <w:sectPr>
      <w:headerReference r:id="rId3" w:type="default"/>
      <w:footerReference r:id="rId4" w:type="default"/>
      <w:pgSz w:w="11906" w:h="16838"/>
      <w:pgMar w:top="1701" w:right="1474" w:bottom="1701" w:left="1531" w:header="1021" w:footer="1361"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仿宋_GB2312">
    <w:altName w:val="仿宋"/>
    <w:panose1 w:val="00000000000000000000"/>
    <w:charset w:val="86"/>
    <w:family w:val="auto"/>
    <w:pitch w:val="default"/>
    <w:sig w:usb0="00000000" w:usb1="00000000" w:usb2="00000012"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350382301"/>
                          </w:sdtPr>
                          <w:sdtEndPr>
                            <w:rPr>
                              <w:sz w:val="28"/>
                              <w:szCs w:val="28"/>
                            </w:rPr>
                          </w:sdtEndPr>
                          <w:sdtContent>
                            <w:p>
                              <w:pPr>
                                <w:pStyle w:val="7"/>
                                <w:jc w:val="right"/>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w:t>
                              </w:r>
                              <w:r>
                                <w:rPr>
                                  <w:sz w:val="28"/>
                                  <w:szCs w:val="28"/>
                                </w:rPr>
                                <w:t xml:space="preserve"> 22 -</w:t>
                              </w:r>
                              <w:r>
                                <w:rPr>
                                  <w:sz w:val="28"/>
                                  <w:szCs w:val="28"/>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350382301"/>
                    </w:sdtPr>
                    <w:sdtEndPr>
                      <w:rPr>
                        <w:sz w:val="28"/>
                        <w:szCs w:val="28"/>
                      </w:rPr>
                    </w:sdtEndPr>
                    <w:sdtContent>
                      <w:p>
                        <w:pPr>
                          <w:pStyle w:val="7"/>
                          <w:jc w:val="right"/>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w:t>
                        </w:r>
                        <w:r>
                          <w:rPr>
                            <w:sz w:val="28"/>
                            <w:szCs w:val="28"/>
                          </w:rPr>
                          <w:t xml:space="preserve"> 22 -</w:t>
                        </w:r>
                        <w:r>
                          <w:rPr>
                            <w:sz w:val="28"/>
                            <w:szCs w:val="28"/>
                          </w:rPr>
                          <w:fldChar w:fldCharType="end"/>
                        </w:r>
                      </w:p>
                    </w:sdtContent>
                  </w:sdt>
                  <w:p>
                    <w:pPr>
                      <w:pStyle w:val="2"/>
                    </w:pPr>
                  </w:p>
                </w:txbxContent>
              </v:textbox>
            </v:shape>
          </w:pict>
        </mc:Fallback>
      </mc:AlternateContent>
    </w:r>
  </w:p>
  <w:p>
    <w:pPr>
      <w:pStyle w:val="7"/>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JkMTdjMTUwYmE3NDdkNGYxYTQ4YTcwZmU4OGM2Y2UifQ=="/>
  </w:docVars>
  <w:rsids>
    <w:rsidRoot w:val="24D05C3C"/>
    <w:rsid w:val="00020616"/>
    <w:rsid w:val="00022012"/>
    <w:rsid w:val="00027DC2"/>
    <w:rsid w:val="00042CEE"/>
    <w:rsid w:val="00045783"/>
    <w:rsid w:val="000534FF"/>
    <w:rsid w:val="0005528A"/>
    <w:rsid w:val="000743CD"/>
    <w:rsid w:val="000745E7"/>
    <w:rsid w:val="000844F2"/>
    <w:rsid w:val="00087112"/>
    <w:rsid w:val="0008720B"/>
    <w:rsid w:val="00091741"/>
    <w:rsid w:val="000B3E80"/>
    <w:rsid w:val="000D2328"/>
    <w:rsid w:val="000E2A1F"/>
    <w:rsid w:val="000F3F28"/>
    <w:rsid w:val="00105501"/>
    <w:rsid w:val="001141A7"/>
    <w:rsid w:val="0013071E"/>
    <w:rsid w:val="00130C6C"/>
    <w:rsid w:val="0013747F"/>
    <w:rsid w:val="0014022C"/>
    <w:rsid w:val="001436CE"/>
    <w:rsid w:val="0014643B"/>
    <w:rsid w:val="0015012D"/>
    <w:rsid w:val="00151A95"/>
    <w:rsid w:val="00152500"/>
    <w:rsid w:val="00153A8F"/>
    <w:rsid w:val="00160C9E"/>
    <w:rsid w:val="00165530"/>
    <w:rsid w:val="0017055F"/>
    <w:rsid w:val="001722F5"/>
    <w:rsid w:val="001725FA"/>
    <w:rsid w:val="0017410B"/>
    <w:rsid w:val="00174855"/>
    <w:rsid w:val="0018151B"/>
    <w:rsid w:val="001826BD"/>
    <w:rsid w:val="00196C7A"/>
    <w:rsid w:val="001A0D30"/>
    <w:rsid w:val="001A2968"/>
    <w:rsid w:val="001C6F14"/>
    <w:rsid w:val="001E2CE1"/>
    <w:rsid w:val="001E40D4"/>
    <w:rsid w:val="001E54B1"/>
    <w:rsid w:val="001F3700"/>
    <w:rsid w:val="0020775A"/>
    <w:rsid w:val="00207852"/>
    <w:rsid w:val="00220169"/>
    <w:rsid w:val="00221F01"/>
    <w:rsid w:val="0022771E"/>
    <w:rsid w:val="002306E7"/>
    <w:rsid w:val="0023329B"/>
    <w:rsid w:val="0025007B"/>
    <w:rsid w:val="0025020D"/>
    <w:rsid w:val="0025287C"/>
    <w:rsid w:val="00256FFC"/>
    <w:rsid w:val="002630FD"/>
    <w:rsid w:val="0026519E"/>
    <w:rsid w:val="0026547E"/>
    <w:rsid w:val="002677BF"/>
    <w:rsid w:val="00274341"/>
    <w:rsid w:val="00275021"/>
    <w:rsid w:val="00287453"/>
    <w:rsid w:val="00291DD2"/>
    <w:rsid w:val="00297C26"/>
    <w:rsid w:val="002A64F4"/>
    <w:rsid w:val="002B2838"/>
    <w:rsid w:val="002C2157"/>
    <w:rsid w:val="002C3007"/>
    <w:rsid w:val="002E1C28"/>
    <w:rsid w:val="002E70D1"/>
    <w:rsid w:val="002F6157"/>
    <w:rsid w:val="00304A70"/>
    <w:rsid w:val="00307062"/>
    <w:rsid w:val="00310A4E"/>
    <w:rsid w:val="00316865"/>
    <w:rsid w:val="0033571C"/>
    <w:rsid w:val="00344D32"/>
    <w:rsid w:val="00347A45"/>
    <w:rsid w:val="00347BFC"/>
    <w:rsid w:val="00351CF0"/>
    <w:rsid w:val="003521A9"/>
    <w:rsid w:val="00362CC9"/>
    <w:rsid w:val="00373AA7"/>
    <w:rsid w:val="0037402B"/>
    <w:rsid w:val="003767C6"/>
    <w:rsid w:val="003814FC"/>
    <w:rsid w:val="00382D7E"/>
    <w:rsid w:val="0038537E"/>
    <w:rsid w:val="003A09D6"/>
    <w:rsid w:val="003A1F31"/>
    <w:rsid w:val="003A2090"/>
    <w:rsid w:val="003B2670"/>
    <w:rsid w:val="003B643A"/>
    <w:rsid w:val="003B7CF4"/>
    <w:rsid w:val="003D4B1E"/>
    <w:rsid w:val="003E38B6"/>
    <w:rsid w:val="003E6FD0"/>
    <w:rsid w:val="003F772F"/>
    <w:rsid w:val="004154BA"/>
    <w:rsid w:val="004263BD"/>
    <w:rsid w:val="00431CB3"/>
    <w:rsid w:val="00432F6D"/>
    <w:rsid w:val="00436074"/>
    <w:rsid w:val="0044051B"/>
    <w:rsid w:val="00440BD8"/>
    <w:rsid w:val="00455131"/>
    <w:rsid w:val="00465723"/>
    <w:rsid w:val="00477B96"/>
    <w:rsid w:val="00494A14"/>
    <w:rsid w:val="0049583E"/>
    <w:rsid w:val="0049655A"/>
    <w:rsid w:val="004A00F3"/>
    <w:rsid w:val="004A11B4"/>
    <w:rsid w:val="004A365F"/>
    <w:rsid w:val="004A3BFF"/>
    <w:rsid w:val="004A7ABA"/>
    <w:rsid w:val="004B5545"/>
    <w:rsid w:val="004B58EA"/>
    <w:rsid w:val="004B5C34"/>
    <w:rsid w:val="004C187D"/>
    <w:rsid w:val="004D3C10"/>
    <w:rsid w:val="004E1AAC"/>
    <w:rsid w:val="004E72C7"/>
    <w:rsid w:val="004F55ED"/>
    <w:rsid w:val="004F6E90"/>
    <w:rsid w:val="00500EE9"/>
    <w:rsid w:val="005039F6"/>
    <w:rsid w:val="00504250"/>
    <w:rsid w:val="0052283D"/>
    <w:rsid w:val="00531829"/>
    <w:rsid w:val="00532763"/>
    <w:rsid w:val="005518A9"/>
    <w:rsid w:val="00557AE1"/>
    <w:rsid w:val="005708E9"/>
    <w:rsid w:val="00574120"/>
    <w:rsid w:val="00574557"/>
    <w:rsid w:val="005932D6"/>
    <w:rsid w:val="00593678"/>
    <w:rsid w:val="005A5E67"/>
    <w:rsid w:val="005D1127"/>
    <w:rsid w:val="005D7D6C"/>
    <w:rsid w:val="005E06B6"/>
    <w:rsid w:val="005E1E52"/>
    <w:rsid w:val="005F16DF"/>
    <w:rsid w:val="006067E9"/>
    <w:rsid w:val="00612A6C"/>
    <w:rsid w:val="00612F65"/>
    <w:rsid w:val="00614D61"/>
    <w:rsid w:val="00632BC8"/>
    <w:rsid w:val="006355FB"/>
    <w:rsid w:val="00636DF3"/>
    <w:rsid w:val="006477B4"/>
    <w:rsid w:val="006545A9"/>
    <w:rsid w:val="00656DF9"/>
    <w:rsid w:val="00675AF2"/>
    <w:rsid w:val="006859F1"/>
    <w:rsid w:val="00690862"/>
    <w:rsid w:val="00691094"/>
    <w:rsid w:val="006B6469"/>
    <w:rsid w:val="006C09A5"/>
    <w:rsid w:val="006C3BB4"/>
    <w:rsid w:val="006E7464"/>
    <w:rsid w:val="00705D29"/>
    <w:rsid w:val="00710A83"/>
    <w:rsid w:val="00711E8E"/>
    <w:rsid w:val="00730231"/>
    <w:rsid w:val="00735E7B"/>
    <w:rsid w:val="0075125B"/>
    <w:rsid w:val="00761B62"/>
    <w:rsid w:val="00761E34"/>
    <w:rsid w:val="00764625"/>
    <w:rsid w:val="00773916"/>
    <w:rsid w:val="0077519A"/>
    <w:rsid w:val="007858FB"/>
    <w:rsid w:val="00787E30"/>
    <w:rsid w:val="00791E0C"/>
    <w:rsid w:val="007A6B72"/>
    <w:rsid w:val="007B6802"/>
    <w:rsid w:val="007C05AC"/>
    <w:rsid w:val="007C3CB7"/>
    <w:rsid w:val="007C6B69"/>
    <w:rsid w:val="007D6F71"/>
    <w:rsid w:val="007F5CAF"/>
    <w:rsid w:val="00800CAC"/>
    <w:rsid w:val="00804B55"/>
    <w:rsid w:val="00815034"/>
    <w:rsid w:val="00827FA3"/>
    <w:rsid w:val="0083445C"/>
    <w:rsid w:val="0085541B"/>
    <w:rsid w:val="0086782E"/>
    <w:rsid w:val="00870557"/>
    <w:rsid w:val="008832AB"/>
    <w:rsid w:val="008A1D4B"/>
    <w:rsid w:val="008A26D1"/>
    <w:rsid w:val="008B3C26"/>
    <w:rsid w:val="008C2FE4"/>
    <w:rsid w:val="008C49D9"/>
    <w:rsid w:val="008E5B1C"/>
    <w:rsid w:val="00904F5B"/>
    <w:rsid w:val="00910A8F"/>
    <w:rsid w:val="009163E1"/>
    <w:rsid w:val="00922792"/>
    <w:rsid w:val="00925A53"/>
    <w:rsid w:val="00934F51"/>
    <w:rsid w:val="00936B59"/>
    <w:rsid w:val="00940F41"/>
    <w:rsid w:val="00941597"/>
    <w:rsid w:val="00945385"/>
    <w:rsid w:val="00950758"/>
    <w:rsid w:val="00951FEE"/>
    <w:rsid w:val="009601DF"/>
    <w:rsid w:val="00960E26"/>
    <w:rsid w:val="0096437E"/>
    <w:rsid w:val="00972088"/>
    <w:rsid w:val="0097299F"/>
    <w:rsid w:val="00976793"/>
    <w:rsid w:val="00992644"/>
    <w:rsid w:val="00997EE9"/>
    <w:rsid w:val="009A5868"/>
    <w:rsid w:val="009D4287"/>
    <w:rsid w:val="009D42B9"/>
    <w:rsid w:val="009D7E98"/>
    <w:rsid w:val="009E28C0"/>
    <w:rsid w:val="009E3A8D"/>
    <w:rsid w:val="009E4165"/>
    <w:rsid w:val="009E4ECA"/>
    <w:rsid w:val="009E6B6A"/>
    <w:rsid w:val="009E7B35"/>
    <w:rsid w:val="009F3063"/>
    <w:rsid w:val="00A02F4D"/>
    <w:rsid w:val="00A214CA"/>
    <w:rsid w:val="00A241D8"/>
    <w:rsid w:val="00A55A31"/>
    <w:rsid w:val="00A6263A"/>
    <w:rsid w:val="00A67708"/>
    <w:rsid w:val="00A67DBF"/>
    <w:rsid w:val="00A77685"/>
    <w:rsid w:val="00A8287A"/>
    <w:rsid w:val="00A8373D"/>
    <w:rsid w:val="00A953A1"/>
    <w:rsid w:val="00A954A4"/>
    <w:rsid w:val="00AA099C"/>
    <w:rsid w:val="00AA4EEA"/>
    <w:rsid w:val="00AB2F95"/>
    <w:rsid w:val="00AB4012"/>
    <w:rsid w:val="00AC62A4"/>
    <w:rsid w:val="00AD5F42"/>
    <w:rsid w:val="00B02D9A"/>
    <w:rsid w:val="00B06BFC"/>
    <w:rsid w:val="00B10507"/>
    <w:rsid w:val="00B25CBA"/>
    <w:rsid w:val="00B26AF6"/>
    <w:rsid w:val="00B31AD7"/>
    <w:rsid w:val="00B5188F"/>
    <w:rsid w:val="00B56758"/>
    <w:rsid w:val="00B570B7"/>
    <w:rsid w:val="00B66581"/>
    <w:rsid w:val="00B80A2E"/>
    <w:rsid w:val="00B87EF6"/>
    <w:rsid w:val="00B959C8"/>
    <w:rsid w:val="00BA67B6"/>
    <w:rsid w:val="00BC1E36"/>
    <w:rsid w:val="00BC3B79"/>
    <w:rsid w:val="00BC7C47"/>
    <w:rsid w:val="00BE0DE2"/>
    <w:rsid w:val="00BE3ABA"/>
    <w:rsid w:val="00BF706B"/>
    <w:rsid w:val="00C00096"/>
    <w:rsid w:val="00C10EB1"/>
    <w:rsid w:val="00C150E4"/>
    <w:rsid w:val="00C16723"/>
    <w:rsid w:val="00C305EA"/>
    <w:rsid w:val="00C357AF"/>
    <w:rsid w:val="00C35A6B"/>
    <w:rsid w:val="00C4615A"/>
    <w:rsid w:val="00C46DFD"/>
    <w:rsid w:val="00C51CEE"/>
    <w:rsid w:val="00C604C3"/>
    <w:rsid w:val="00C6338D"/>
    <w:rsid w:val="00C6664C"/>
    <w:rsid w:val="00C72209"/>
    <w:rsid w:val="00C73E19"/>
    <w:rsid w:val="00C84507"/>
    <w:rsid w:val="00C9267B"/>
    <w:rsid w:val="00CA6874"/>
    <w:rsid w:val="00CB7252"/>
    <w:rsid w:val="00CB74CA"/>
    <w:rsid w:val="00CB77BE"/>
    <w:rsid w:val="00CC4E97"/>
    <w:rsid w:val="00CC4FBF"/>
    <w:rsid w:val="00CD73EA"/>
    <w:rsid w:val="00CE04A6"/>
    <w:rsid w:val="00CF7468"/>
    <w:rsid w:val="00D0041A"/>
    <w:rsid w:val="00D21CB6"/>
    <w:rsid w:val="00D246BE"/>
    <w:rsid w:val="00D25C2E"/>
    <w:rsid w:val="00D31BC2"/>
    <w:rsid w:val="00D366D4"/>
    <w:rsid w:val="00D45511"/>
    <w:rsid w:val="00D54F61"/>
    <w:rsid w:val="00D576A4"/>
    <w:rsid w:val="00D60876"/>
    <w:rsid w:val="00D61883"/>
    <w:rsid w:val="00D6559E"/>
    <w:rsid w:val="00D87188"/>
    <w:rsid w:val="00D94544"/>
    <w:rsid w:val="00DB18E1"/>
    <w:rsid w:val="00DC280C"/>
    <w:rsid w:val="00DD1FB6"/>
    <w:rsid w:val="00DD2325"/>
    <w:rsid w:val="00DE4B96"/>
    <w:rsid w:val="00DE619B"/>
    <w:rsid w:val="00DF10EF"/>
    <w:rsid w:val="00DF3C97"/>
    <w:rsid w:val="00DF4860"/>
    <w:rsid w:val="00DF7E4D"/>
    <w:rsid w:val="00E2387C"/>
    <w:rsid w:val="00E27866"/>
    <w:rsid w:val="00E30D93"/>
    <w:rsid w:val="00E5042F"/>
    <w:rsid w:val="00E50EBF"/>
    <w:rsid w:val="00E76D6F"/>
    <w:rsid w:val="00E83A50"/>
    <w:rsid w:val="00E867A3"/>
    <w:rsid w:val="00E94EC6"/>
    <w:rsid w:val="00EA1382"/>
    <w:rsid w:val="00EA25BF"/>
    <w:rsid w:val="00EB496D"/>
    <w:rsid w:val="00EC2B02"/>
    <w:rsid w:val="00EC531A"/>
    <w:rsid w:val="00ED3BD8"/>
    <w:rsid w:val="00EE134C"/>
    <w:rsid w:val="00EE162E"/>
    <w:rsid w:val="00EE2E00"/>
    <w:rsid w:val="00EE4E73"/>
    <w:rsid w:val="00EF08FA"/>
    <w:rsid w:val="00EF6E59"/>
    <w:rsid w:val="00F01DA0"/>
    <w:rsid w:val="00F140AA"/>
    <w:rsid w:val="00F35161"/>
    <w:rsid w:val="00F42926"/>
    <w:rsid w:val="00F42E84"/>
    <w:rsid w:val="00F57B5C"/>
    <w:rsid w:val="00F661BD"/>
    <w:rsid w:val="00F67FC0"/>
    <w:rsid w:val="00F703E8"/>
    <w:rsid w:val="00F76B6E"/>
    <w:rsid w:val="00F856D8"/>
    <w:rsid w:val="00F927E7"/>
    <w:rsid w:val="00F9281F"/>
    <w:rsid w:val="00FA02F3"/>
    <w:rsid w:val="00FA27EB"/>
    <w:rsid w:val="00FB1BAD"/>
    <w:rsid w:val="00FB6408"/>
    <w:rsid w:val="00FC049C"/>
    <w:rsid w:val="00FC10C9"/>
    <w:rsid w:val="00FC1E7C"/>
    <w:rsid w:val="00FC6311"/>
    <w:rsid w:val="00FD5BD9"/>
    <w:rsid w:val="00FE2BB0"/>
    <w:rsid w:val="00FE6042"/>
    <w:rsid w:val="00FF690A"/>
    <w:rsid w:val="00FF7D6F"/>
    <w:rsid w:val="010C27DA"/>
    <w:rsid w:val="01166364"/>
    <w:rsid w:val="014C4DA3"/>
    <w:rsid w:val="0157619E"/>
    <w:rsid w:val="018E19BE"/>
    <w:rsid w:val="018E53BB"/>
    <w:rsid w:val="01973B44"/>
    <w:rsid w:val="01982038"/>
    <w:rsid w:val="019C1EEA"/>
    <w:rsid w:val="019D537C"/>
    <w:rsid w:val="01AE3368"/>
    <w:rsid w:val="01C32E7A"/>
    <w:rsid w:val="01C54B55"/>
    <w:rsid w:val="01F176F8"/>
    <w:rsid w:val="01FD7E4B"/>
    <w:rsid w:val="0204742C"/>
    <w:rsid w:val="020D728E"/>
    <w:rsid w:val="0213766F"/>
    <w:rsid w:val="021D229B"/>
    <w:rsid w:val="022A4754"/>
    <w:rsid w:val="02375428"/>
    <w:rsid w:val="02380E83"/>
    <w:rsid w:val="023B4E4C"/>
    <w:rsid w:val="024837DC"/>
    <w:rsid w:val="024B505A"/>
    <w:rsid w:val="024C3EEC"/>
    <w:rsid w:val="02535CBD"/>
    <w:rsid w:val="025F28B4"/>
    <w:rsid w:val="0268098B"/>
    <w:rsid w:val="02714395"/>
    <w:rsid w:val="02755FB4"/>
    <w:rsid w:val="027D71DE"/>
    <w:rsid w:val="028062B7"/>
    <w:rsid w:val="02821A5E"/>
    <w:rsid w:val="0286090C"/>
    <w:rsid w:val="02873BB9"/>
    <w:rsid w:val="02AD361F"/>
    <w:rsid w:val="02B0310F"/>
    <w:rsid w:val="02B56978"/>
    <w:rsid w:val="02CB1CF7"/>
    <w:rsid w:val="02F32FFC"/>
    <w:rsid w:val="02F76F90"/>
    <w:rsid w:val="03084CFA"/>
    <w:rsid w:val="030B47EA"/>
    <w:rsid w:val="03144708"/>
    <w:rsid w:val="03150DFB"/>
    <w:rsid w:val="032D26DE"/>
    <w:rsid w:val="032F672A"/>
    <w:rsid w:val="034F0B7A"/>
    <w:rsid w:val="03651F6E"/>
    <w:rsid w:val="03667C72"/>
    <w:rsid w:val="036B7036"/>
    <w:rsid w:val="036D7B71"/>
    <w:rsid w:val="036E328E"/>
    <w:rsid w:val="037D61DE"/>
    <w:rsid w:val="038506DE"/>
    <w:rsid w:val="03940343"/>
    <w:rsid w:val="03CE1C3B"/>
    <w:rsid w:val="03E01392"/>
    <w:rsid w:val="03F139E0"/>
    <w:rsid w:val="040000C7"/>
    <w:rsid w:val="041D6583"/>
    <w:rsid w:val="04247911"/>
    <w:rsid w:val="043A7135"/>
    <w:rsid w:val="0441726B"/>
    <w:rsid w:val="0466617C"/>
    <w:rsid w:val="047B62D9"/>
    <w:rsid w:val="04870534"/>
    <w:rsid w:val="048F0647"/>
    <w:rsid w:val="04A60F90"/>
    <w:rsid w:val="04A66578"/>
    <w:rsid w:val="04FF037E"/>
    <w:rsid w:val="050D2A9B"/>
    <w:rsid w:val="051054BA"/>
    <w:rsid w:val="051536FE"/>
    <w:rsid w:val="052D1FA4"/>
    <w:rsid w:val="05663F59"/>
    <w:rsid w:val="057228FE"/>
    <w:rsid w:val="05787AFD"/>
    <w:rsid w:val="057D59C1"/>
    <w:rsid w:val="058F1702"/>
    <w:rsid w:val="05C70E9C"/>
    <w:rsid w:val="05D62E8D"/>
    <w:rsid w:val="05E82BC0"/>
    <w:rsid w:val="05F6352F"/>
    <w:rsid w:val="05FF75B0"/>
    <w:rsid w:val="060519C4"/>
    <w:rsid w:val="060A6FDB"/>
    <w:rsid w:val="061D286A"/>
    <w:rsid w:val="064249C6"/>
    <w:rsid w:val="064A7E58"/>
    <w:rsid w:val="064C75F3"/>
    <w:rsid w:val="064E5119"/>
    <w:rsid w:val="06825418"/>
    <w:rsid w:val="068C79F0"/>
    <w:rsid w:val="06A25465"/>
    <w:rsid w:val="06B25CA1"/>
    <w:rsid w:val="06C21663"/>
    <w:rsid w:val="06DC0977"/>
    <w:rsid w:val="07070EDD"/>
    <w:rsid w:val="07094094"/>
    <w:rsid w:val="073267E9"/>
    <w:rsid w:val="073302AC"/>
    <w:rsid w:val="07372CAE"/>
    <w:rsid w:val="07375BAD"/>
    <w:rsid w:val="07493F29"/>
    <w:rsid w:val="074B2D67"/>
    <w:rsid w:val="076F416E"/>
    <w:rsid w:val="07751DC8"/>
    <w:rsid w:val="077C1812"/>
    <w:rsid w:val="07AC22B3"/>
    <w:rsid w:val="07BC2556"/>
    <w:rsid w:val="07BE1E2B"/>
    <w:rsid w:val="07C525AE"/>
    <w:rsid w:val="07CB5DFF"/>
    <w:rsid w:val="080041F1"/>
    <w:rsid w:val="080478A9"/>
    <w:rsid w:val="08422A5C"/>
    <w:rsid w:val="0855640B"/>
    <w:rsid w:val="0858732C"/>
    <w:rsid w:val="085E53BC"/>
    <w:rsid w:val="08730E67"/>
    <w:rsid w:val="087345A0"/>
    <w:rsid w:val="087E49FE"/>
    <w:rsid w:val="088820A4"/>
    <w:rsid w:val="08907C6B"/>
    <w:rsid w:val="08A92ADB"/>
    <w:rsid w:val="08AB6853"/>
    <w:rsid w:val="08B80F70"/>
    <w:rsid w:val="08C169D6"/>
    <w:rsid w:val="08CB1D92"/>
    <w:rsid w:val="08D70158"/>
    <w:rsid w:val="08DB6A0C"/>
    <w:rsid w:val="08EB30F3"/>
    <w:rsid w:val="08ED6E6B"/>
    <w:rsid w:val="08EE6740"/>
    <w:rsid w:val="090E0B90"/>
    <w:rsid w:val="09120680"/>
    <w:rsid w:val="09151909"/>
    <w:rsid w:val="09203EB9"/>
    <w:rsid w:val="093F0D49"/>
    <w:rsid w:val="0946657C"/>
    <w:rsid w:val="095412EF"/>
    <w:rsid w:val="09552287"/>
    <w:rsid w:val="096D58B6"/>
    <w:rsid w:val="09807C9E"/>
    <w:rsid w:val="0983157E"/>
    <w:rsid w:val="099C263F"/>
    <w:rsid w:val="09A84B40"/>
    <w:rsid w:val="09AE6375"/>
    <w:rsid w:val="09BE25B6"/>
    <w:rsid w:val="09C50FEF"/>
    <w:rsid w:val="09E110D4"/>
    <w:rsid w:val="09E638BB"/>
    <w:rsid w:val="09E77C46"/>
    <w:rsid w:val="09F14739"/>
    <w:rsid w:val="09FF326D"/>
    <w:rsid w:val="0A0106F5"/>
    <w:rsid w:val="0A037FC9"/>
    <w:rsid w:val="0A055BA1"/>
    <w:rsid w:val="0A151234"/>
    <w:rsid w:val="0A2148F3"/>
    <w:rsid w:val="0A2E379E"/>
    <w:rsid w:val="0A2E6BE8"/>
    <w:rsid w:val="0A2F3DC3"/>
    <w:rsid w:val="0A3A3B56"/>
    <w:rsid w:val="0A530F50"/>
    <w:rsid w:val="0A577EA6"/>
    <w:rsid w:val="0A652A31"/>
    <w:rsid w:val="0A71382C"/>
    <w:rsid w:val="0A825391"/>
    <w:rsid w:val="0A962578"/>
    <w:rsid w:val="0A9C3C41"/>
    <w:rsid w:val="0AB44ED8"/>
    <w:rsid w:val="0ABA2D7D"/>
    <w:rsid w:val="0AD025A1"/>
    <w:rsid w:val="0AD233DE"/>
    <w:rsid w:val="0AD876A7"/>
    <w:rsid w:val="0AE35F8A"/>
    <w:rsid w:val="0AE722C1"/>
    <w:rsid w:val="0AF33435"/>
    <w:rsid w:val="0AFB5144"/>
    <w:rsid w:val="0AFF3057"/>
    <w:rsid w:val="0B065FC2"/>
    <w:rsid w:val="0B105ABE"/>
    <w:rsid w:val="0B1306DF"/>
    <w:rsid w:val="0B1C57E6"/>
    <w:rsid w:val="0B260413"/>
    <w:rsid w:val="0B362885"/>
    <w:rsid w:val="0B3643CE"/>
    <w:rsid w:val="0B420FC5"/>
    <w:rsid w:val="0B5036E2"/>
    <w:rsid w:val="0B723658"/>
    <w:rsid w:val="0B7849E6"/>
    <w:rsid w:val="0B7D5744"/>
    <w:rsid w:val="0B7F76C6"/>
    <w:rsid w:val="0B974E6D"/>
    <w:rsid w:val="0BA945A0"/>
    <w:rsid w:val="0BB53545"/>
    <w:rsid w:val="0BB91287"/>
    <w:rsid w:val="0BD81B1B"/>
    <w:rsid w:val="0BE1258C"/>
    <w:rsid w:val="0BEB6845"/>
    <w:rsid w:val="0C0369A6"/>
    <w:rsid w:val="0C0A3890"/>
    <w:rsid w:val="0C216E2C"/>
    <w:rsid w:val="0C851169"/>
    <w:rsid w:val="0C8E44C1"/>
    <w:rsid w:val="0CA02447"/>
    <w:rsid w:val="0CA84E57"/>
    <w:rsid w:val="0CAF268A"/>
    <w:rsid w:val="0CF06885"/>
    <w:rsid w:val="0CF83115"/>
    <w:rsid w:val="0D0E73B0"/>
    <w:rsid w:val="0D16652A"/>
    <w:rsid w:val="0D1A3FA7"/>
    <w:rsid w:val="0D366907"/>
    <w:rsid w:val="0D4E59FF"/>
    <w:rsid w:val="0D562B05"/>
    <w:rsid w:val="0D6B035F"/>
    <w:rsid w:val="0D6E60A1"/>
    <w:rsid w:val="0D8238FA"/>
    <w:rsid w:val="0D8C6527"/>
    <w:rsid w:val="0D9C59EA"/>
    <w:rsid w:val="0DA67AEE"/>
    <w:rsid w:val="0DA71FDE"/>
    <w:rsid w:val="0DB43700"/>
    <w:rsid w:val="0DB717F6"/>
    <w:rsid w:val="0DC83A03"/>
    <w:rsid w:val="0DD26630"/>
    <w:rsid w:val="0DD71E98"/>
    <w:rsid w:val="0DDB26A9"/>
    <w:rsid w:val="0DE75691"/>
    <w:rsid w:val="0E150056"/>
    <w:rsid w:val="0E1705D6"/>
    <w:rsid w:val="0E344BF5"/>
    <w:rsid w:val="0E3D3626"/>
    <w:rsid w:val="0E4137B5"/>
    <w:rsid w:val="0E440BB0"/>
    <w:rsid w:val="0E4532A6"/>
    <w:rsid w:val="0E4F13F0"/>
    <w:rsid w:val="0E590AFF"/>
    <w:rsid w:val="0E770F85"/>
    <w:rsid w:val="0E8A7F6C"/>
    <w:rsid w:val="0E8E54DA"/>
    <w:rsid w:val="0EB63B25"/>
    <w:rsid w:val="0ECD6DF7"/>
    <w:rsid w:val="0ECF2B6F"/>
    <w:rsid w:val="0EF5379F"/>
    <w:rsid w:val="0EF66370"/>
    <w:rsid w:val="0EFE3455"/>
    <w:rsid w:val="0F026AA1"/>
    <w:rsid w:val="0F08731A"/>
    <w:rsid w:val="0F087E2F"/>
    <w:rsid w:val="0F0F5662"/>
    <w:rsid w:val="0F202928"/>
    <w:rsid w:val="0F3133CB"/>
    <w:rsid w:val="0F5372FC"/>
    <w:rsid w:val="0F84395A"/>
    <w:rsid w:val="0FA638D0"/>
    <w:rsid w:val="0FA81CDD"/>
    <w:rsid w:val="0FCD5301"/>
    <w:rsid w:val="0FCE68FF"/>
    <w:rsid w:val="0FEB5776"/>
    <w:rsid w:val="0FF705D0"/>
    <w:rsid w:val="103709CC"/>
    <w:rsid w:val="103733C1"/>
    <w:rsid w:val="104906FF"/>
    <w:rsid w:val="10596B94"/>
    <w:rsid w:val="10A736E6"/>
    <w:rsid w:val="10BE10ED"/>
    <w:rsid w:val="10D26947"/>
    <w:rsid w:val="10DA43E6"/>
    <w:rsid w:val="10EC7A09"/>
    <w:rsid w:val="10F36FE9"/>
    <w:rsid w:val="10FD2B9C"/>
    <w:rsid w:val="11042C72"/>
    <w:rsid w:val="111753C0"/>
    <w:rsid w:val="11256ADF"/>
    <w:rsid w:val="112A0531"/>
    <w:rsid w:val="112B21EB"/>
    <w:rsid w:val="11674464"/>
    <w:rsid w:val="11796ADD"/>
    <w:rsid w:val="118934A9"/>
    <w:rsid w:val="118B03B5"/>
    <w:rsid w:val="11A83289"/>
    <w:rsid w:val="11B26F22"/>
    <w:rsid w:val="11B92C2E"/>
    <w:rsid w:val="11BA7F87"/>
    <w:rsid w:val="11BC387F"/>
    <w:rsid w:val="11D37251"/>
    <w:rsid w:val="11E15093"/>
    <w:rsid w:val="11E23663"/>
    <w:rsid w:val="11F36B75"/>
    <w:rsid w:val="1202325C"/>
    <w:rsid w:val="120F5657"/>
    <w:rsid w:val="12107F7D"/>
    <w:rsid w:val="121C18ED"/>
    <w:rsid w:val="121C256F"/>
    <w:rsid w:val="12211934"/>
    <w:rsid w:val="122929EF"/>
    <w:rsid w:val="122F3529"/>
    <w:rsid w:val="123B2740"/>
    <w:rsid w:val="12474E77"/>
    <w:rsid w:val="12485112"/>
    <w:rsid w:val="12582E7C"/>
    <w:rsid w:val="126B0E01"/>
    <w:rsid w:val="126C07D3"/>
    <w:rsid w:val="12840ED7"/>
    <w:rsid w:val="129569F8"/>
    <w:rsid w:val="12972723"/>
    <w:rsid w:val="12A03F22"/>
    <w:rsid w:val="12A6008B"/>
    <w:rsid w:val="12BA4DA0"/>
    <w:rsid w:val="12DE7274"/>
    <w:rsid w:val="12EA25C0"/>
    <w:rsid w:val="12EB53B3"/>
    <w:rsid w:val="12EF7F1D"/>
    <w:rsid w:val="12FD414F"/>
    <w:rsid w:val="13006247"/>
    <w:rsid w:val="133236CD"/>
    <w:rsid w:val="133D279D"/>
    <w:rsid w:val="13453400"/>
    <w:rsid w:val="134A6C68"/>
    <w:rsid w:val="134D797D"/>
    <w:rsid w:val="135B1B56"/>
    <w:rsid w:val="13616DDA"/>
    <w:rsid w:val="13727D5F"/>
    <w:rsid w:val="13781A27"/>
    <w:rsid w:val="137F4B64"/>
    <w:rsid w:val="13946135"/>
    <w:rsid w:val="139D444C"/>
    <w:rsid w:val="13AA3CFD"/>
    <w:rsid w:val="13BF31B2"/>
    <w:rsid w:val="13C62793"/>
    <w:rsid w:val="13CA0233"/>
    <w:rsid w:val="13CE5AEB"/>
    <w:rsid w:val="13EB21F9"/>
    <w:rsid w:val="13F2409C"/>
    <w:rsid w:val="14355008"/>
    <w:rsid w:val="145204CA"/>
    <w:rsid w:val="14524026"/>
    <w:rsid w:val="1461426A"/>
    <w:rsid w:val="147E12BF"/>
    <w:rsid w:val="1481490C"/>
    <w:rsid w:val="14983138"/>
    <w:rsid w:val="14984A52"/>
    <w:rsid w:val="149B25B8"/>
    <w:rsid w:val="149D00E3"/>
    <w:rsid w:val="14A5394B"/>
    <w:rsid w:val="14CA62B3"/>
    <w:rsid w:val="14DB7912"/>
    <w:rsid w:val="14DC1B42"/>
    <w:rsid w:val="14DE58EF"/>
    <w:rsid w:val="14E135FC"/>
    <w:rsid w:val="14EE4F6C"/>
    <w:rsid w:val="14F21366"/>
    <w:rsid w:val="15085B07"/>
    <w:rsid w:val="150A2B53"/>
    <w:rsid w:val="150B1006"/>
    <w:rsid w:val="153100E0"/>
    <w:rsid w:val="153674A4"/>
    <w:rsid w:val="15473AE5"/>
    <w:rsid w:val="156102B8"/>
    <w:rsid w:val="156937E1"/>
    <w:rsid w:val="15761F97"/>
    <w:rsid w:val="158B5AB1"/>
    <w:rsid w:val="159348F7"/>
    <w:rsid w:val="15997A33"/>
    <w:rsid w:val="15AD4FB3"/>
    <w:rsid w:val="15AE7982"/>
    <w:rsid w:val="15B51009"/>
    <w:rsid w:val="15DC65E3"/>
    <w:rsid w:val="15F5735F"/>
    <w:rsid w:val="16331C36"/>
    <w:rsid w:val="164E4CC1"/>
    <w:rsid w:val="16582103"/>
    <w:rsid w:val="165F4CB9"/>
    <w:rsid w:val="16646293"/>
    <w:rsid w:val="166B7621"/>
    <w:rsid w:val="166F55EB"/>
    <w:rsid w:val="1672275E"/>
    <w:rsid w:val="1674297A"/>
    <w:rsid w:val="16774218"/>
    <w:rsid w:val="167C538B"/>
    <w:rsid w:val="168C1346"/>
    <w:rsid w:val="16917C48"/>
    <w:rsid w:val="16985F3D"/>
    <w:rsid w:val="16A13043"/>
    <w:rsid w:val="16B76BE4"/>
    <w:rsid w:val="16BA5EB3"/>
    <w:rsid w:val="16C15D95"/>
    <w:rsid w:val="16C46D32"/>
    <w:rsid w:val="16CA4564"/>
    <w:rsid w:val="16D50F3F"/>
    <w:rsid w:val="16FE0496"/>
    <w:rsid w:val="17073599"/>
    <w:rsid w:val="170A4CC0"/>
    <w:rsid w:val="1711641B"/>
    <w:rsid w:val="171262F0"/>
    <w:rsid w:val="17127A9D"/>
    <w:rsid w:val="17546308"/>
    <w:rsid w:val="17555BDC"/>
    <w:rsid w:val="1759391E"/>
    <w:rsid w:val="177644D0"/>
    <w:rsid w:val="177855D8"/>
    <w:rsid w:val="17797B1C"/>
    <w:rsid w:val="179761F4"/>
    <w:rsid w:val="17A56B63"/>
    <w:rsid w:val="17A80401"/>
    <w:rsid w:val="17DD00AB"/>
    <w:rsid w:val="17E24039"/>
    <w:rsid w:val="1821268E"/>
    <w:rsid w:val="18351844"/>
    <w:rsid w:val="185A17B4"/>
    <w:rsid w:val="18925339"/>
    <w:rsid w:val="189A2440"/>
    <w:rsid w:val="189A5F9C"/>
    <w:rsid w:val="18A961DF"/>
    <w:rsid w:val="18B352B0"/>
    <w:rsid w:val="18E11E1D"/>
    <w:rsid w:val="18E51E32"/>
    <w:rsid w:val="18EB4A4A"/>
    <w:rsid w:val="18F51424"/>
    <w:rsid w:val="19094ED0"/>
    <w:rsid w:val="190B0C48"/>
    <w:rsid w:val="19362169"/>
    <w:rsid w:val="194523AC"/>
    <w:rsid w:val="196A1E12"/>
    <w:rsid w:val="196A3BC0"/>
    <w:rsid w:val="197258DC"/>
    <w:rsid w:val="19831126"/>
    <w:rsid w:val="198611B9"/>
    <w:rsid w:val="19882298"/>
    <w:rsid w:val="19965EDA"/>
    <w:rsid w:val="19AF373A"/>
    <w:rsid w:val="19B97804"/>
    <w:rsid w:val="19BB441C"/>
    <w:rsid w:val="19C31523"/>
    <w:rsid w:val="19D46414"/>
    <w:rsid w:val="19D75095"/>
    <w:rsid w:val="19DE5CD3"/>
    <w:rsid w:val="19E951A2"/>
    <w:rsid w:val="1A1D5A3E"/>
    <w:rsid w:val="1A24197C"/>
    <w:rsid w:val="1A3A6028"/>
    <w:rsid w:val="1A4268EB"/>
    <w:rsid w:val="1A46462D"/>
    <w:rsid w:val="1A4A57A0"/>
    <w:rsid w:val="1A516B2E"/>
    <w:rsid w:val="1A5959E3"/>
    <w:rsid w:val="1A6B5E42"/>
    <w:rsid w:val="1A7B5F4E"/>
    <w:rsid w:val="1A8A3DEE"/>
    <w:rsid w:val="1A8C7B66"/>
    <w:rsid w:val="1A903AFB"/>
    <w:rsid w:val="1A9A6727"/>
    <w:rsid w:val="1AA72BF2"/>
    <w:rsid w:val="1AB25B78"/>
    <w:rsid w:val="1ABA3E94"/>
    <w:rsid w:val="1AE6371B"/>
    <w:rsid w:val="1B283968"/>
    <w:rsid w:val="1B3D762E"/>
    <w:rsid w:val="1B465D3A"/>
    <w:rsid w:val="1B4A02FA"/>
    <w:rsid w:val="1B505F65"/>
    <w:rsid w:val="1B59213E"/>
    <w:rsid w:val="1B682381"/>
    <w:rsid w:val="1B6F1697"/>
    <w:rsid w:val="1B762CF0"/>
    <w:rsid w:val="1B7C407F"/>
    <w:rsid w:val="1B8229A5"/>
    <w:rsid w:val="1B854CE1"/>
    <w:rsid w:val="1B890579"/>
    <w:rsid w:val="1BB723CB"/>
    <w:rsid w:val="1BBC447B"/>
    <w:rsid w:val="1BD47A17"/>
    <w:rsid w:val="1BD96DDB"/>
    <w:rsid w:val="1BDD4B1E"/>
    <w:rsid w:val="1BFB1448"/>
    <w:rsid w:val="1BFE4B3C"/>
    <w:rsid w:val="1C055AC1"/>
    <w:rsid w:val="1C0E2307"/>
    <w:rsid w:val="1C117A3C"/>
    <w:rsid w:val="1C256388"/>
    <w:rsid w:val="1C2A5027"/>
    <w:rsid w:val="1C591153"/>
    <w:rsid w:val="1C7B531C"/>
    <w:rsid w:val="1C80194D"/>
    <w:rsid w:val="1C8A6328"/>
    <w:rsid w:val="1C907DE2"/>
    <w:rsid w:val="1C9F6443"/>
    <w:rsid w:val="1CA745DD"/>
    <w:rsid w:val="1CA7512B"/>
    <w:rsid w:val="1D012A8E"/>
    <w:rsid w:val="1D063DAB"/>
    <w:rsid w:val="1D0E3E09"/>
    <w:rsid w:val="1D1207F7"/>
    <w:rsid w:val="1D1C3400"/>
    <w:rsid w:val="1D1E1B46"/>
    <w:rsid w:val="1D295B40"/>
    <w:rsid w:val="1D444728"/>
    <w:rsid w:val="1D655C57"/>
    <w:rsid w:val="1D6D03B8"/>
    <w:rsid w:val="1D6D1ED1"/>
    <w:rsid w:val="1D9823E8"/>
    <w:rsid w:val="1DA84CB7"/>
    <w:rsid w:val="1DAB29F9"/>
    <w:rsid w:val="1DBD0CD6"/>
    <w:rsid w:val="1DC97EE6"/>
    <w:rsid w:val="1DCC309C"/>
    <w:rsid w:val="1DD15853"/>
    <w:rsid w:val="1DD261D8"/>
    <w:rsid w:val="1DD72298"/>
    <w:rsid w:val="1DDE4B7D"/>
    <w:rsid w:val="1DDF4451"/>
    <w:rsid w:val="1DED3012"/>
    <w:rsid w:val="1DF00869"/>
    <w:rsid w:val="1E124827"/>
    <w:rsid w:val="1E2210EC"/>
    <w:rsid w:val="1E2C58E8"/>
    <w:rsid w:val="1E4B4B5A"/>
    <w:rsid w:val="1E51534F"/>
    <w:rsid w:val="1E5B6DBF"/>
    <w:rsid w:val="1E6257AE"/>
    <w:rsid w:val="1E7B23CC"/>
    <w:rsid w:val="1E844CEA"/>
    <w:rsid w:val="1E890FCD"/>
    <w:rsid w:val="1E893F5A"/>
    <w:rsid w:val="1EA025CB"/>
    <w:rsid w:val="1EA94722"/>
    <w:rsid w:val="1EB37DB8"/>
    <w:rsid w:val="1EB63404"/>
    <w:rsid w:val="1EC26DF6"/>
    <w:rsid w:val="1ED36C59"/>
    <w:rsid w:val="1ED815CC"/>
    <w:rsid w:val="1EEA30EC"/>
    <w:rsid w:val="1EEF50F3"/>
    <w:rsid w:val="1EF02DBA"/>
    <w:rsid w:val="1EFD7285"/>
    <w:rsid w:val="1F06438B"/>
    <w:rsid w:val="1F0C571A"/>
    <w:rsid w:val="1F14362A"/>
    <w:rsid w:val="1F2760B0"/>
    <w:rsid w:val="1F334A54"/>
    <w:rsid w:val="1F5919B1"/>
    <w:rsid w:val="1F5E23E9"/>
    <w:rsid w:val="1F752D3A"/>
    <w:rsid w:val="1F813A12"/>
    <w:rsid w:val="1F8B4890"/>
    <w:rsid w:val="1F9109C1"/>
    <w:rsid w:val="1F927D5B"/>
    <w:rsid w:val="1F941997"/>
    <w:rsid w:val="1F9A2D26"/>
    <w:rsid w:val="1FA3607E"/>
    <w:rsid w:val="1FA83694"/>
    <w:rsid w:val="1FA85442"/>
    <w:rsid w:val="1FBE6A14"/>
    <w:rsid w:val="1FC05159"/>
    <w:rsid w:val="1FC3227C"/>
    <w:rsid w:val="1FC87893"/>
    <w:rsid w:val="1FCB1131"/>
    <w:rsid w:val="1FD46237"/>
    <w:rsid w:val="1FD808F8"/>
    <w:rsid w:val="1FDB2A7E"/>
    <w:rsid w:val="1FDC50EC"/>
    <w:rsid w:val="1FE346CD"/>
    <w:rsid w:val="1FFB1882"/>
    <w:rsid w:val="202110DB"/>
    <w:rsid w:val="202925A1"/>
    <w:rsid w:val="202B1BD0"/>
    <w:rsid w:val="203647FC"/>
    <w:rsid w:val="203B542B"/>
    <w:rsid w:val="203E5DF0"/>
    <w:rsid w:val="20541126"/>
    <w:rsid w:val="205524AA"/>
    <w:rsid w:val="20605D1D"/>
    <w:rsid w:val="206155F1"/>
    <w:rsid w:val="20717F2A"/>
    <w:rsid w:val="20827A42"/>
    <w:rsid w:val="20884308"/>
    <w:rsid w:val="208A4F5D"/>
    <w:rsid w:val="209459C7"/>
    <w:rsid w:val="209634ED"/>
    <w:rsid w:val="20995C00"/>
    <w:rsid w:val="20BB11A5"/>
    <w:rsid w:val="20C63AC9"/>
    <w:rsid w:val="20DE0E36"/>
    <w:rsid w:val="20E6783A"/>
    <w:rsid w:val="20F93EB3"/>
    <w:rsid w:val="21040504"/>
    <w:rsid w:val="211B39F2"/>
    <w:rsid w:val="211F7986"/>
    <w:rsid w:val="21324237"/>
    <w:rsid w:val="21515F0F"/>
    <w:rsid w:val="21584354"/>
    <w:rsid w:val="215C4736"/>
    <w:rsid w:val="216D06F2"/>
    <w:rsid w:val="21763451"/>
    <w:rsid w:val="2177331E"/>
    <w:rsid w:val="218849EB"/>
    <w:rsid w:val="219407C4"/>
    <w:rsid w:val="219739C1"/>
    <w:rsid w:val="21A2432F"/>
    <w:rsid w:val="21B04A82"/>
    <w:rsid w:val="21BF4CC5"/>
    <w:rsid w:val="21C26CCA"/>
    <w:rsid w:val="21DA611C"/>
    <w:rsid w:val="21DE15EF"/>
    <w:rsid w:val="21ED538F"/>
    <w:rsid w:val="21EE1107"/>
    <w:rsid w:val="21FC7CC7"/>
    <w:rsid w:val="222848C7"/>
    <w:rsid w:val="223905D4"/>
    <w:rsid w:val="22576CAC"/>
    <w:rsid w:val="22857CBD"/>
    <w:rsid w:val="22950C0E"/>
    <w:rsid w:val="22A87A5F"/>
    <w:rsid w:val="22AC6FF8"/>
    <w:rsid w:val="22D12F02"/>
    <w:rsid w:val="22E5250A"/>
    <w:rsid w:val="22EA30D7"/>
    <w:rsid w:val="22FD7853"/>
    <w:rsid w:val="2305495A"/>
    <w:rsid w:val="23166B67"/>
    <w:rsid w:val="23203542"/>
    <w:rsid w:val="233E3859"/>
    <w:rsid w:val="23522813"/>
    <w:rsid w:val="23645B24"/>
    <w:rsid w:val="236D2C2B"/>
    <w:rsid w:val="238367CA"/>
    <w:rsid w:val="238D5D3D"/>
    <w:rsid w:val="23922691"/>
    <w:rsid w:val="239A1546"/>
    <w:rsid w:val="239B4777"/>
    <w:rsid w:val="239F090A"/>
    <w:rsid w:val="23B31D5F"/>
    <w:rsid w:val="23B95E70"/>
    <w:rsid w:val="23C35A13"/>
    <w:rsid w:val="23D04F68"/>
    <w:rsid w:val="23D762F6"/>
    <w:rsid w:val="23E2046F"/>
    <w:rsid w:val="23F171DD"/>
    <w:rsid w:val="23F30C56"/>
    <w:rsid w:val="240510B5"/>
    <w:rsid w:val="24120966"/>
    <w:rsid w:val="24150BCD"/>
    <w:rsid w:val="242D5F16"/>
    <w:rsid w:val="243948BB"/>
    <w:rsid w:val="24466FD8"/>
    <w:rsid w:val="24496A68"/>
    <w:rsid w:val="244C161E"/>
    <w:rsid w:val="2452597D"/>
    <w:rsid w:val="245F149B"/>
    <w:rsid w:val="245F2A83"/>
    <w:rsid w:val="246B6A3F"/>
    <w:rsid w:val="2479115B"/>
    <w:rsid w:val="248024EA"/>
    <w:rsid w:val="2483022C"/>
    <w:rsid w:val="24857B00"/>
    <w:rsid w:val="249B5576"/>
    <w:rsid w:val="249C76D5"/>
    <w:rsid w:val="24AE34FB"/>
    <w:rsid w:val="24B47998"/>
    <w:rsid w:val="24B5060B"/>
    <w:rsid w:val="24C30629"/>
    <w:rsid w:val="24C40BCE"/>
    <w:rsid w:val="24D05C3C"/>
    <w:rsid w:val="24D37B9D"/>
    <w:rsid w:val="24D61965"/>
    <w:rsid w:val="24D82C65"/>
    <w:rsid w:val="24EE1B49"/>
    <w:rsid w:val="252D60F3"/>
    <w:rsid w:val="25473008"/>
    <w:rsid w:val="25533D7B"/>
    <w:rsid w:val="255A71DF"/>
    <w:rsid w:val="255C45DD"/>
    <w:rsid w:val="255E2709"/>
    <w:rsid w:val="25861D82"/>
    <w:rsid w:val="258B7398"/>
    <w:rsid w:val="25902676"/>
    <w:rsid w:val="259B08F3"/>
    <w:rsid w:val="259C15A5"/>
    <w:rsid w:val="25A82D61"/>
    <w:rsid w:val="25AE7CE4"/>
    <w:rsid w:val="25B51A01"/>
    <w:rsid w:val="25CB3C39"/>
    <w:rsid w:val="25D901DD"/>
    <w:rsid w:val="25EF0DCD"/>
    <w:rsid w:val="25F64996"/>
    <w:rsid w:val="25F72C80"/>
    <w:rsid w:val="2611114A"/>
    <w:rsid w:val="26333C6D"/>
    <w:rsid w:val="26437C73"/>
    <w:rsid w:val="264D55E0"/>
    <w:rsid w:val="265A6D6B"/>
    <w:rsid w:val="2670658E"/>
    <w:rsid w:val="267B0E16"/>
    <w:rsid w:val="26A10E3D"/>
    <w:rsid w:val="26AA5F44"/>
    <w:rsid w:val="26B648E9"/>
    <w:rsid w:val="26B6680A"/>
    <w:rsid w:val="26F359D2"/>
    <w:rsid w:val="27003DB6"/>
    <w:rsid w:val="2705317A"/>
    <w:rsid w:val="27075144"/>
    <w:rsid w:val="27085BFB"/>
    <w:rsid w:val="27137433"/>
    <w:rsid w:val="27194E78"/>
    <w:rsid w:val="27196C26"/>
    <w:rsid w:val="27272151"/>
    <w:rsid w:val="272950BB"/>
    <w:rsid w:val="272E1912"/>
    <w:rsid w:val="275B28C6"/>
    <w:rsid w:val="275D6B12"/>
    <w:rsid w:val="276500BD"/>
    <w:rsid w:val="276E0ED0"/>
    <w:rsid w:val="276E51C4"/>
    <w:rsid w:val="277A5916"/>
    <w:rsid w:val="27840543"/>
    <w:rsid w:val="278E316A"/>
    <w:rsid w:val="27962024"/>
    <w:rsid w:val="27A42993"/>
    <w:rsid w:val="27B12B37"/>
    <w:rsid w:val="27B63715"/>
    <w:rsid w:val="28017DE6"/>
    <w:rsid w:val="281B7617"/>
    <w:rsid w:val="281F026C"/>
    <w:rsid w:val="2826784C"/>
    <w:rsid w:val="28321B2D"/>
    <w:rsid w:val="28321D4D"/>
    <w:rsid w:val="28415B69"/>
    <w:rsid w:val="284468C4"/>
    <w:rsid w:val="285070E1"/>
    <w:rsid w:val="2852360D"/>
    <w:rsid w:val="28620159"/>
    <w:rsid w:val="286365B1"/>
    <w:rsid w:val="286640ED"/>
    <w:rsid w:val="286D4C33"/>
    <w:rsid w:val="286E4D4F"/>
    <w:rsid w:val="28783522"/>
    <w:rsid w:val="287C121A"/>
    <w:rsid w:val="287C746C"/>
    <w:rsid w:val="289E5635"/>
    <w:rsid w:val="28BA534D"/>
    <w:rsid w:val="28BC4DFC"/>
    <w:rsid w:val="28CE5D75"/>
    <w:rsid w:val="28CF4E13"/>
    <w:rsid w:val="28DA340F"/>
    <w:rsid w:val="28DE3C83"/>
    <w:rsid w:val="28E82D54"/>
    <w:rsid w:val="28E868B0"/>
    <w:rsid w:val="28EC2844"/>
    <w:rsid w:val="28EE67D0"/>
    <w:rsid w:val="29057462"/>
    <w:rsid w:val="291D3575"/>
    <w:rsid w:val="292673D8"/>
    <w:rsid w:val="2927387C"/>
    <w:rsid w:val="292863C3"/>
    <w:rsid w:val="29417FF2"/>
    <w:rsid w:val="294B4AFF"/>
    <w:rsid w:val="295126A7"/>
    <w:rsid w:val="295249D2"/>
    <w:rsid w:val="295D53A7"/>
    <w:rsid w:val="2964701D"/>
    <w:rsid w:val="29755A2A"/>
    <w:rsid w:val="29A94291"/>
    <w:rsid w:val="29B0515D"/>
    <w:rsid w:val="29B93765"/>
    <w:rsid w:val="29E17ECF"/>
    <w:rsid w:val="29E4425C"/>
    <w:rsid w:val="29F319B0"/>
    <w:rsid w:val="2A247DBB"/>
    <w:rsid w:val="2A4B5348"/>
    <w:rsid w:val="2A4E6BE6"/>
    <w:rsid w:val="2A6428AE"/>
    <w:rsid w:val="2A64465C"/>
    <w:rsid w:val="2A662182"/>
    <w:rsid w:val="2A6F4829"/>
    <w:rsid w:val="2A750617"/>
    <w:rsid w:val="2A7A79DB"/>
    <w:rsid w:val="2A7F27ED"/>
    <w:rsid w:val="2A851A70"/>
    <w:rsid w:val="2A930DCD"/>
    <w:rsid w:val="2AA36F32"/>
    <w:rsid w:val="2AC05D36"/>
    <w:rsid w:val="2ACF4E96"/>
    <w:rsid w:val="2AD0584D"/>
    <w:rsid w:val="2AD8121E"/>
    <w:rsid w:val="2AE4343F"/>
    <w:rsid w:val="2AE93C56"/>
    <w:rsid w:val="2AEB7200"/>
    <w:rsid w:val="2B0F6376"/>
    <w:rsid w:val="2B2729A1"/>
    <w:rsid w:val="2B332030"/>
    <w:rsid w:val="2B3E30FF"/>
    <w:rsid w:val="2B4E31AB"/>
    <w:rsid w:val="2B516029"/>
    <w:rsid w:val="2B57647A"/>
    <w:rsid w:val="2B6109B1"/>
    <w:rsid w:val="2B624661"/>
    <w:rsid w:val="2B6F5066"/>
    <w:rsid w:val="2BAF49D7"/>
    <w:rsid w:val="2BBD5E27"/>
    <w:rsid w:val="2BC70BB9"/>
    <w:rsid w:val="2BDB6BA0"/>
    <w:rsid w:val="2BE23A8A"/>
    <w:rsid w:val="2BEC66B7"/>
    <w:rsid w:val="2BEE68D3"/>
    <w:rsid w:val="2C217B32"/>
    <w:rsid w:val="2C2E5A75"/>
    <w:rsid w:val="2C51159B"/>
    <w:rsid w:val="2C5C1643"/>
    <w:rsid w:val="2C5C6CD4"/>
    <w:rsid w:val="2C5F1504"/>
    <w:rsid w:val="2C695F59"/>
    <w:rsid w:val="2C714E0E"/>
    <w:rsid w:val="2C8707DF"/>
    <w:rsid w:val="2C9859C5"/>
    <w:rsid w:val="2C996564"/>
    <w:rsid w:val="2C9C1E8B"/>
    <w:rsid w:val="2CB43679"/>
    <w:rsid w:val="2CB96A46"/>
    <w:rsid w:val="2CC80ED2"/>
    <w:rsid w:val="2CDC2BCF"/>
    <w:rsid w:val="2CE6483A"/>
    <w:rsid w:val="2CEA18A7"/>
    <w:rsid w:val="2CF241A1"/>
    <w:rsid w:val="2D144117"/>
    <w:rsid w:val="2D1D6EFA"/>
    <w:rsid w:val="2D2554EB"/>
    <w:rsid w:val="2D564730"/>
    <w:rsid w:val="2D5C05DE"/>
    <w:rsid w:val="2D607CBE"/>
    <w:rsid w:val="2D636E4D"/>
    <w:rsid w:val="2D7D2598"/>
    <w:rsid w:val="2D880661"/>
    <w:rsid w:val="2D962D7E"/>
    <w:rsid w:val="2DA74F8B"/>
    <w:rsid w:val="2DA90D03"/>
    <w:rsid w:val="2DE47F8D"/>
    <w:rsid w:val="2DED3454"/>
    <w:rsid w:val="2DFA155F"/>
    <w:rsid w:val="2E127C0A"/>
    <w:rsid w:val="2E144AF5"/>
    <w:rsid w:val="2E33418C"/>
    <w:rsid w:val="2E3518B7"/>
    <w:rsid w:val="2E3A1E59"/>
    <w:rsid w:val="2E3C4036"/>
    <w:rsid w:val="2E570E39"/>
    <w:rsid w:val="2E5E5928"/>
    <w:rsid w:val="2E614446"/>
    <w:rsid w:val="2E666BF4"/>
    <w:rsid w:val="2E6764C9"/>
    <w:rsid w:val="2E821554"/>
    <w:rsid w:val="2E935F8A"/>
    <w:rsid w:val="2E9640D5"/>
    <w:rsid w:val="2E9A689E"/>
    <w:rsid w:val="2E9D638E"/>
    <w:rsid w:val="2EB72FAC"/>
    <w:rsid w:val="2EC24BC6"/>
    <w:rsid w:val="2EC92CDF"/>
    <w:rsid w:val="2ED17FB6"/>
    <w:rsid w:val="2EE45D6B"/>
    <w:rsid w:val="2EF134B4"/>
    <w:rsid w:val="2F083403"/>
    <w:rsid w:val="2F0A76B7"/>
    <w:rsid w:val="2F2443BA"/>
    <w:rsid w:val="2F27455B"/>
    <w:rsid w:val="2F2E4A11"/>
    <w:rsid w:val="2F3565C7"/>
    <w:rsid w:val="2F3F11F4"/>
    <w:rsid w:val="2F451C0C"/>
    <w:rsid w:val="2F452CAE"/>
    <w:rsid w:val="2F480C30"/>
    <w:rsid w:val="2F546A4D"/>
    <w:rsid w:val="2F5B563D"/>
    <w:rsid w:val="2F643F15"/>
    <w:rsid w:val="2F662C24"/>
    <w:rsid w:val="2F6824F8"/>
    <w:rsid w:val="2F6F0B8C"/>
    <w:rsid w:val="2F7750E4"/>
    <w:rsid w:val="2F8310E0"/>
    <w:rsid w:val="2F8A0897"/>
    <w:rsid w:val="2FAF1ED5"/>
    <w:rsid w:val="2FB90FA6"/>
    <w:rsid w:val="2FC42004"/>
    <w:rsid w:val="2FC476F3"/>
    <w:rsid w:val="30045BF1"/>
    <w:rsid w:val="300541EB"/>
    <w:rsid w:val="30106ACB"/>
    <w:rsid w:val="30136908"/>
    <w:rsid w:val="30281C88"/>
    <w:rsid w:val="302A0555"/>
    <w:rsid w:val="30373356"/>
    <w:rsid w:val="3048473A"/>
    <w:rsid w:val="304C1E1A"/>
    <w:rsid w:val="305B205D"/>
    <w:rsid w:val="306C415A"/>
    <w:rsid w:val="309A4933"/>
    <w:rsid w:val="309D4424"/>
    <w:rsid w:val="30A92DC8"/>
    <w:rsid w:val="30B11C7D"/>
    <w:rsid w:val="30B874AF"/>
    <w:rsid w:val="30C741BE"/>
    <w:rsid w:val="30CD523A"/>
    <w:rsid w:val="30DD36E0"/>
    <w:rsid w:val="30EC0F07"/>
    <w:rsid w:val="30F73B34"/>
    <w:rsid w:val="311F7C0E"/>
    <w:rsid w:val="312E4D7E"/>
    <w:rsid w:val="31342080"/>
    <w:rsid w:val="313D7CF1"/>
    <w:rsid w:val="31580CD7"/>
    <w:rsid w:val="31671C04"/>
    <w:rsid w:val="317F3B29"/>
    <w:rsid w:val="3192385D"/>
    <w:rsid w:val="31AD2FE7"/>
    <w:rsid w:val="31CD2205"/>
    <w:rsid w:val="31CD6808"/>
    <w:rsid w:val="31F82AAF"/>
    <w:rsid w:val="320F78C9"/>
    <w:rsid w:val="32144D1B"/>
    <w:rsid w:val="321921D0"/>
    <w:rsid w:val="3227669B"/>
    <w:rsid w:val="32326DEE"/>
    <w:rsid w:val="323446FA"/>
    <w:rsid w:val="325425A3"/>
    <w:rsid w:val="325D030E"/>
    <w:rsid w:val="325F5E35"/>
    <w:rsid w:val="32626D30"/>
    <w:rsid w:val="326E42CA"/>
    <w:rsid w:val="328B2544"/>
    <w:rsid w:val="328F3C7E"/>
    <w:rsid w:val="32BA306B"/>
    <w:rsid w:val="32BF0681"/>
    <w:rsid w:val="32C07FFA"/>
    <w:rsid w:val="32CA3CCA"/>
    <w:rsid w:val="32D4413C"/>
    <w:rsid w:val="32DC7485"/>
    <w:rsid w:val="32F80F11"/>
    <w:rsid w:val="33192D42"/>
    <w:rsid w:val="33326DB8"/>
    <w:rsid w:val="334D0383"/>
    <w:rsid w:val="336735B5"/>
    <w:rsid w:val="336B0809"/>
    <w:rsid w:val="338813BB"/>
    <w:rsid w:val="338E62A6"/>
    <w:rsid w:val="338F39E0"/>
    <w:rsid w:val="338F44F8"/>
    <w:rsid w:val="339E473B"/>
    <w:rsid w:val="33B0446E"/>
    <w:rsid w:val="33D4063A"/>
    <w:rsid w:val="33D75E9F"/>
    <w:rsid w:val="33E04D53"/>
    <w:rsid w:val="33E412BD"/>
    <w:rsid w:val="33F25135"/>
    <w:rsid w:val="341B222F"/>
    <w:rsid w:val="342509B8"/>
    <w:rsid w:val="342F4E8B"/>
    <w:rsid w:val="3434509F"/>
    <w:rsid w:val="34345DE3"/>
    <w:rsid w:val="343E7CCC"/>
    <w:rsid w:val="344D6161"/>
    <w:rsid w:val="34567B88"/>
    <w:rsid w:val="345768F4"/>
    <w:rsid w:val="34580D8D"/>
    <w:rsid w:val="34677222"/>
    <w:rsid w:val="348B70ED"/>
    <w:rsid w:val="34934894"/>
    <w:rsid w:val="349E7844"/>
    <w:rsid w:val="34E67EED"/>
    <w:rsid w:val="34F82570"/>
    <w:rsid w:val="351849C1"/>
    <w:rsid w:val="35270760"/>
    <w:rsid w:val="353D5019"/>
    <w:rsid w:val="354924F4"/>
    <w:rsid w:val="354E6238"/>
    <w:rsid w:val="35524794"/>
    <w:rsid w:val="356A6061"/>
    <w:rsid w:val="35725E7F"/>
    <w:rsid w:val="357D65D2"/>
    <w:rsid w:val="35957DBF"/>
    <w:rsid w:val="35A63D7A"/>
    <w:rsid w:val="35AB75D4"/>
    <w:rsid w:val="35CF507F"/>
    <w:rsid w:val="35D2691D"/>
    <w:rsid w:val="35F42D38"/>
    <w:rsid w:val="35F965A0"/>
    <w:rsid w:val="360665C9"/>
    <w:rsid w:val="360C62D3"/>
    <w:rsid w:val="361D3835"/>
    <w:rsid w:val="362058DB"/>
    <w:rsid w:val="36370E76"/>
    <w:rsid w:val="3637604F"/>
    <w:rsid w:val="363B44C3"/>
    <w:rsid w:val="363D46DF"/>
    <w:rsid w:val="364610BA"/>
    <w:rsid w:val="365D6B2F"/>
    <w:rsid w:val="365E6B01"/>
    <w:rsid w:val="3662158F"/>
    <w:rsid w:val="367E2601"/>
    <w:rsid w:val="368D17C9"/>
    <w:rsid w:val="368E1FC7"/>
    <w:rsid w:val="36A24542"/>
    <w:rsid w:val="36A4731E"/>
    <w:rsid w:val="36A9070A"/>
    <w:rsid w:val="36B204FD"/>
    <w:rsid w:val="36BF504B"/>
    <w:rsid w:val="36CA1CEB"/>
    <w:rsid w:val="370419F2"/>
    <w:rsid w:val="370A193E"/>
    <w:rsid w:val="37152F66"/>
    <w:rsid w:val="37227431"/>
    <w:rsid w:val="37293F0A"/>
    <w:rsid w:val="372C4753"/>
    <w:rsid w:val="37337890"/>
    <w:rsid w:val="373D24BC"/>
    <w:rsid w:val="373F65F1"/>
    <w:rsid w:val="375717D0"/>
    <w:rsid w:val="375A27EB"/>
    <w:rsid w:val="376B527C"/>
    <w:rsid w:val="37707DD1"/>
    <w:rsid w:val="37757799"/>
    <w:rsid w:val="37840808"/>
    <w:rsid w:val="378C7416"/>
    <w:rsid w:val="379C0E5D"/>
    <w:rsid w:val="37AB5678"/>
    <w:rsid w:val="37B07132"/>
    <w:rsid w:val="37B07204"/>
    <w:rsid w:val="37C74FD7"/>
    <w:rsid w:val="37D54FF8"/>
    <w:rsid w:val="37FA4E13"/>
    <w:rsid w:val="381256F7"/>
    <w:rsid w:val="381F1BC2"/>
    <w:rsid w:val="38233FA0"/>
    <w:rsid w:val="383E526D"/>
    <w:rsid w:val="38404012"/>
    <w:rsid w:val="384F06F9"/>
    <w:rsid w:val="388D2FD0"/>
    <w:rsid w:val="388F0AF6"/>
    <w:rsid w:val="389845C4"/>
    <w:rsid w:val="389F6697"/>
    <w:rsid w:val="38A722E3"/>
    <w:rsid w:val="38D40BFF"/>
    <w:rsid w:val="38D86941"/>
    <w:rsid w:val="390E2362"/>
    <w:rsid w:val="39113ACA"/>
    <w:rsid w:val="39146129"/>
    <w:rsid w:val="392C0A52"/>
    <w:rsid w:val="39335925"/>
    <w:rsid w:val="3942200C"/>
    <w:rsid w:val="39423DBA"/>
    <w:rsid w:val="395F6F71"/>
    <w:rsid w:val="396D0A5D"/>
    <w:rsid w:val="39987E7E"/>
    <w:rsid w:val="399A1E48"/>
    <w:rsid w:val="39A95BE7"/>
    <w:rsid w:val="39B06F76"/>
    <w:rsid w:val="39DA385F"/>
    <w:rsid w:val="39DD3AE3"/>
    <w:rsid w:val="39DE2E9B"/>
    <w:rsid w:val="39F2758E"/>
    <w:rsid w:val="39FC21BB"/>
    <w:rsid w:val="3A112E04"/>
    <w:rsid w:val="3A211C22"/>
    <w:rsid w:val="3A2160C5"/>
    <w:rsid w:val="3A221A8C"/>
    <w:rsid w:val="3A281202"/>
    <w:rsid w:val="3A2E4DC8"/>
    <w:rsid w:val="3A410516"/>
    <w:rsid w:val="3A5169AB"/>
    <w:rsid w:val="3A63048C"/>
    <w:rsid w:val="3A687850"/>
    <w:rsid w:val="3A6B7341"/>
    <w:rsid w:val="3A713B26"/>
    <w:rsid w:val="3A742699"/>
    <w:rsid w:val="3A7D77A0"/>
    <w:rsid w:val="3AA67957"/>
    <w:rsid w:val="3AAB598F"/>
    <w:rsid w:val="3ABE3914"/>
    <w:rsid w:val="3AC23405"/>
    <w:rsid w:val="3AC32E01"/>
    <w:rsid w:val="3AD60C5E"/>
    <w:rsid w:val="3AD76784"/>
    <w:rsid w:val="3ADA7245"/>
    <w:rsid w:val="3AE3337B"/>
    <w:rsid w:val="3AF52EEE"/>
    <w:rsid w:val="3B144787"/>
    <w:rsid w:val="3B20012B"/>
    <w:rsid w:val="3B40257B"/>
    <w:rsid w:val="3B427E5C"/>
    <w:rsid w:val="3B4A75B6"/>
    <w:rsid w:val="3B4F3130"/>
    <w:rsid w:val="3B5132D1"/>
    <w:rsid w:val="3B5D7F75"/>
    <w:rsid w:val="3B5E490D"/>
    <w:rsid w:val="3B67773C"/>
    <w:rsid w:val="3B7E2778"/>
    <w:rsid w:val="3B8E32E7"/>
    <w:rsid w:val="3B922EDF"/>
    <w:rsid w:val="3B984165"/>
    <w:rsid w:val="3B9D5C20"/>
    <w:rsid w:val="3BA25EDD"/>
    <w:rsid w:val="3BA63EF8"/>
    <w:rsid w:val="3BB014AF"/>
    <w:rsid w:val="3BB76BCA"/>
    <w:rsid w:val="3BBF16F2"/>
    <w:rsid w:val="3BD10196"/>
    <w:rsid w:val="3BF53366"/>
    <w:rsid w:val="3C074E88"/>
    <w:rsid w:val="3C1C4D96"/>
    <w:rsid w:val="3C1F4887"/>
    <w:rsid w:val="3C371BD0"/>
    <w:rsid w:val="3C4340D1"/>
    <w:rsid w:val="3C5D3B53"/>
    <w:rsid w:val="3C664263"/>
    <w:rsid w:val="3C7E77FF"/>
    <w:rsid w:val="3C991F43"/>
    <w:rsid w:val="3CA23939"/>
    <w:rsid w:val="3CA27CB0"/>
    <w:rsid w:val="3CB7061B"/>
    <w:rsid w:val="3CC316B6"/>
    <w:rsid w:val="3CCA2A44"/>
    <w:rsid w:val="3CCF005B"/>
    <w:rsid w:val="3CD45671"/>
    <w:rsid w:val="3CE07B72"/>
    <w:rsid w:val="3CE3316A"/>
    <w:rsid w:val="3D0575D8"/>
    <w:rsid w:val="3D1A2F01"/>
    <w:rsid w:val="3D1D5EDD"/>
    <w:rsid w:val="3D2D16A6"/>
    <w:rsid w:val="3D464256"/>
    <w:rsid w:val="3D4D2D2E"/>
    <w:rsid w:val="3D511CF2"/>
    <w:rsid w:val="3D682A74"/>
    <w:rsid w:val="3D7D1865"/>
    <w:rsid w:val="3D804EB1"/>
    <w:rsid w:val="3D840F95"/>
    <w:rsid w:val="3D937AD8"/>
    <w:rsid w:val="3D96770C"/>
    <w:rsid w:val="3DBF1E7D"/>
    <w:rsid w:val="3DC109F7"/>
    <w:rsid w:val="3DCC6E33"/>
    <w:rsid w:val="3DDC47DD"/>
    <w:rsid w:val="3DE418E4"/>
    <w:rsid w:val="3DFF671E"/>
    <w:rsid w:val="3E063608"/>
    <w:rsid w:val="3E083824"/>
    <w:rsid w:val="3E0B79C0"/>
    <w:rsid w:val="3E2E2B5F"/>
    <w:rsid w:val="3E532C8F"/>
    <w:rsid w:val="3E6D5F04"/>
    <w:rsid w:val="3E6E11AD"/>
    <w:rsid w:val="3EB2521D"/>
    <w:rsid w:val="3EB93822"/>
    <w:rsid w:val="3EC90A0B"/>
    <w:rsid w:val="3ED100BA"/>
    <w:rsid w:val="3EFE0783"/>
    <w:rsid w:val="3F012022"/>
    <w:rsid w:val="3F060B3B"/>
    <w:rsid w:val="3F1B7587"/>
    <w:rsid w:val="3F36616F"/>
    <w:rsid w:val="3F395C5F"/>
    <w:rsid w:val="3F4A5777"/>
    <w:rsid w:val="3F4E08C2"/>
    <w:rsid w:val="3F591E5E"/>
    <w:rsid w:val="3F632CDC"/>
    <w:rsid w:val="3F6902F3"/>
    <w:rsid w:val="3F755CC5"/>
    <w:rsid w:val="3F8618F2"/>
    <w:rsid w:val="3F8A2017"/>
    <w:rsid w:val="3F9609BC"/>
    <w:rsid w:val="3F9F5A84"/>
    <w:rsid w:val="3FB3156E"/>
    <w:rsid w:val="3FC1012F"/>
    <w:rsid w:val="3FCC233D"/>
    <w:rsid w:val="3FCD1A2C"/>
    <w:rsid w:val="3FCE3493"/>
    <w:rsid w:val="3FD73E6F"/>
    <w:rsid w:val="3FEA0D08"/>
    <w:rsid w:val="3FEF0B07"/>
    <w:rsid w:val="3FFB4CC3"/>
    <w:rsid w:val="3FFE0E31"/>
    <w:rsid w:val="400041A0"/>
    <w:rsid w:val="401F334A"/>
    <w:rsid w:val="40204729"/>
    <w:rsid w:val="40297A82"/>
    <w:rsid w:val="40490124"/>
    <w:rsid w:val="406120A5"/>
    <w:rsid w:val="406301E0"/>
    <w:rsid w:val="40632F94"/>
    <w:rsid w:val="40661095"/>
    <w:rsid w:val="40672358"/>
    <w:rsid w:val="406867FC"/>
    <w:rsid w:val="406F68CD"/>
    <w:rsid w:val="40750F19"/>
    <w:rsid w:val="409638B9"/>
    <w:rsid w:val="40A04E29"/>
    <w:rsid w:val="40AD06B3"/>
    <w:rsid w:val="40B27A77"/>
    <w:rsid w:val="40EE65D6"/>
    <w:rsid w:val="40F30A07"/>
    <w:rsid w:val="40F956A6"/>
    <w:rsid w:val="411A73CB"/>
    <w:rsid w:val="412171EE"/>
    <w:rsid w:val="41272213"/>
    <w:rsid w:val="41285739"/>
    <w:rsid w:val="414C7ECC"/>
    <w:rsid w:val="41545805"/>
    <w:rsid w:val="415D5357"/>
    <w:rsid w:val="415E470B"/>
    <w:rsid w:val="416A4D1D"/>
    <w:rsid w:val="416A65A4"/>
    <w:rsid w:val="416E4964"/>
    <w:rsid w:val="41874A60"/>
    <w:rsid w:val="418E2292"/>
    <w:rsid w:val="41942E28"/>
    <w:rsid w:val="419B49AF"/>
    <w:rsid w:val="41B079AE"/>
    <w:rsid w:val="41B617E9"/>
    <w:rsid w:val="41BB4FF6"/>
    <w:rsid w:val="41C446AF"/>
    <w:rsid w:val="41C7526E"/>
    <w:rsid w:val="41D25BC6"/>
    <w:rsid w:val="41DF489C"/>
    <w:rsid w:val="41FD2F74"/>
    <w:rsid w:val="420F1B82"/>
    <w:rsid w:val="42164036"/>
    <w:rsid w:val="42471EF1"/>
    <w:rsid w:val="424961B9"/>
    <w:rsid w:val="4250131F"/>
    <w:rsid w:val="42510572"/>
    <w:rsid w:val="425B6370"/>
    <w:rsid w:val="426E69DE"/>
    <w:rsid w:val="427A0F23"/>
    <w:rsid w:val="428C38C0"/>
    <w:rsid w:val="428C5B28"/>
    <w:rsid w:val="42925DB2"/>
    <w:rsid w:val="429A6A15"/>
    <w:rsid w:val="42AD499A"/>
    <w:rsid w:val="42AE426E"/>
    <w:rsid w:val="42AE5CA8"/>
    <w:rsid w:val="42D5069F"/>
    <w:rsid w:val="42DE51DB"/>
    <w:rsid w:val="42F1180C"/>
    <w:rsid w:val="42F119C2"/>
    <w:rsid w:val="43010842"/>
    <w:rsid w:val="430F57CF"/>
    <w:rsid w:val="4325788D"/>
    <w:rsid w:val="43302539"/>
    <w:rsid w:val="43432C09"/>
    <w:rsid w:val="43485F3B"/>
    <w:rsid w:val="434F5A51"/>
    <w:rsid w:val="4398420F"/>
    <w:rsid w:val="439E0787"/>
    <w:rsid w:val="439E6DDD"/>
    <w:rsid w:val="43A10625"/>
    <w:rsid w:val="43AF1B57"/>
    <w:rsid w:val="43B458B4"/>
    <w:rsid w:val="43B92ECB"/>
    <w:rsid w:val="43E3106F"/>
    <w:rsid w:val="43EA577A"/>
    <w:rsid w:val="43F263DD"/>
    <w:rsid w:val="43F62371"/>
    <w:rsid w:val="43F959BD"/>
    <w:rsid w:val="44313406"/>
    <w:rsid w:val="44436036"/>
    <w:rsid w:val="44466E54"/>
    <w:rsid w:val="445A3A94"/>
    <w:rsid w:val="4473751E"/>
    <w:rsid w:val="44913E48"/>
    <w:rsid w:val="449D7BEB"/>
    <w:rsid w:val="44BA6EFA"/>
    <w:rsid w:val="44BD69EB"/>
    <w:rsid w:val="44C37B0C"/>
    <w:rsid w:val="44C63C14"/>
    <w:rsid w:val="44C71617"/>
    <w:rsid w:val="44CC6C2E"/>
    <w:rsid w:val="44CD4E80"/>
    <w:rsid w:val="44D501D8"/>
    <w:rsid w:val="44E126D9"/>
    <w:rsid w:val="44E64193"/>
    <w:rsid w:val="44E87F0C"/>
    <w:rsid w:val="44EA299C"/>
    <w:rsid w:val="44FE3A87"/>
    <w:rsid w:val="45062140"/>
    <w:rsid w:val="450C508D"/>
    <w:rsid w:val="452D1DC2"/>
    <w:rsid w:val="45361337"/>
    <w:rsid w:val="455106D3"/>
    <w:rsid w:val="455235D7"/>
    <w:rsid w:val="45525385"/>
    <w:rsid w:val="455E78F2"/>
    <w:rsid w:val="45605B3C"/>
    <w:rsid w:val="45660E30"/>
    <w:rsid w:val="4588524B"/>
    <w:rsid w:val="459050A5"/>
    <w:rsid w:val="459D1C39"/>
    <w:rsid w:val="45AF695B"/>
    <w:rsid w:val="45DE130F"/>
    <w:rsid w:val="45F13C95"/>
    <w:rsid w:val="45F96148"/>
    <w:rsid w:val="460C7CB7"/>
    <w:rsid w:val="4613391D"/>
    <w:rsid w:val="46155B08"/>
    <w:rsid w:val="463D6035"/>
    <w:rsid w:val="4651388E"/>
    <w:rsid w:val="465F735E"/>
    <w:rsid w:val="466A4950"/>
    <w:rsid w:val="46704FD2"/>
    <w:rsid w:val="4670640B"/>
    <w:rsid w:val="469F284C"/>
    <w:rsid w:val="46AE6404"/>
    <w:rsid w:val="46B5206F"/>
    <w:rsid w:val="46BA6A35"/>
    <w:rsid w:val="46C44060"/>
    <w:rsid w:val="46D9189C"/>
    <w:rsid w:val="46E472F2"/>
    <w:rsid w:val="46FE585B"/>
    <w:rsid w:val="470A2EDA"/>
    <w:rsid w:val="470D5A07"/>
    <w:rsid w:val="47152B0E"/>
    <w:rsid w:val="471E1C87"/>
    <w:rsid w:val="474653BD"/>
    <w:rsid w:val="475233E9"/>
    <w:rsid w:val="47572CEA"/>
    <w:rsid w:val="47590C4D"/>
    <w:rsid w:val="476A1887"/>
    <w:rsid w:val="47713C3A"/>
    <w:rsid w:val="47793279"/>
    <w:rsid w:val="4783216D"/>
    <w:rsid w:val="47857C94"/>
    <w:rsid w:val="479E2B03"/>
    <w:rsid w:val="47A619B8"/>
    <w:rsid w:val="47A81BD4"/>
    <w:rsid w:val="47B73BC5"/>
    <w:rsid w:val="47BC11DC"/>
    <w:rsid w:val="47BE6D02"/>
    <w:rsid w:val="47C562E2"/>
    <w:rsid w:val="47C61EC4"/>
    <w:rsid w:val="47E250E6"/>
    <w:rsid w:val="47F866B8"/>
    <w:rsid w:val="48036E0A"/>
    <w:rsid w:val="48077256"/>
    <w:rsid w:val="480A77CA"/>
    <w:rsid w:val="48147269"/>
    <w:rsid w:val="481D7ECC"/>
    <w:rsid w:val="48360F8E"/>
    <w:rsid w:val="486A4163"/>
    <w:rsid w:val="487542F0"/>
    <w:rsid w:val="487E46E3"/>
    <w:rsid w:val="48855A71"/>
    <w:rsid w:val="48932DCC"/>
    <w:rsid w:val="48974E72"/>
    <w:rsid w:val="48981C49"/>
    <w:rsid w:val="489932CB"/>
    <w:rsid w:val="489D1D00"/>
    <w:rsid w:val="48A948A0"/>
    <w:rsid w:val="48AC0863"/>
    <w:rsid w:val="48B33C17"/>
    <w:rsid w:val="48B85E47"/>
    <w:rsid w:val="48D03190"/>
    <w:rsid w:val="48D76884"/>
    <w:rsid w:val="48D9507B"/>
    <w:rsid w:val="490260FB"/>
    <w:rsid w:val="49163354"/>
    <w:rsid w:val="491D5CAA"/>
    <w:rsid w:val="493D5485"/>
    <w:rsid w:val="4944592C"/>
    <w:rsid w:val="498B5309"/>
    <w:rsid w:val="49951CE4"/>
    <w:rsid w:val="499B6BF8"/>
    <w:rsid w:val="499C7517"/>
    <w:rsid w:val="49A07F3E"/>
    <w:rsid w:val="49A12AC4"/>
    <w:rsid w:val="49B742B7"/>
    <w:rsid w:val="49BC3715"/>
    <w:rsid w:val="49CF3448"/>
    <w:rsid w:val="49E02FB1"/>
    <w:rsid w:val="49E32E6D"/>
    <w:rsid w:val="49ED1B20"/>
    <w:rsid w:val="49FC1EF0"/>
    <w:rsid w:val="4A2E0ED5"/>
    <w:rsid w:val="4A2E4F2B"/>
    <w:rsid w:val="4A3310C5"/>
    <w:rsid w:val="4A413C1A"/>
    <w:rsid w:val="4A5623EF"/>
    <w:rsid w:val="4A5F2F79"/>
    <w:rsid w:val="4A631BA6"/>
    <w:rsid w:val="4A6C6EE9"/>
    <w:rsid w:val="4A6D17DC"/>
    <w:rsid w:val="4A73467D"/>
    <w:rsid w:val="4A82670C"/>
    <w:rsid w:val="4A881849"/>
    <w:rsid w:val="4A8A3710"/>
    <w:rsid w:val="4AA04DE4"/>
    <w:rsid w:val="4AF928CD"/>
    <w:rsid w:val="4B0A7576"/>
    <w:rsid w:val="4B1E3227"/>
    <w:rsid w:val="4B257098"/>
    <w:rsid w:val="4B313C8F"/>
    <w:rsid w:val="4B321807"/>
    <w:rsid w:val="4B3F0159"/>
    <w:rsid w:val="4B5736F5"/>
    <w:rsid w:val="4B756271"/>
    <w:rsid w:val="4B7818BD"/>
    <w:rsid w:val="4B85158D"/>
    <w:rsid w:val="4B8E2E8F"/>
    <w:rsid w:val="4B93319E"/>
    <w:rsid w:val="4B971153"/>
    <w:rsid w:val="4BC32B39"/>
    <w:rsid w:val="4BFD1760"/>
    <w:rsid w:val="4BFE6267"/>
    <w:rsid w:val="4C1C7AAB"/>
    <w:rsid w:val="4C365A00"/>
    <w:rsid w:val="4C392DFB"/>
    <w:rsid w:val="4C3C28EB"/>
    <w:rsid w:val="4C3C5617"/>
    <w:rsid w:val="4C4B0D80"/>
    <w:rsid w:val="4C6835B8"/>
    <w:rsid w:val="4C6836E0"/>
    <w:rsid w:val="4C6C31D0"/>
    <w:rsid w:val="4C6F0F12"/>
    <w:rsid w:val="4C771B75"/>
    <w:rsid w:val="4C881BEB"/>
    <w:rsid w:val="4C981298"/>
    <w:rsid w:val="4C9B33F3"/>
    <w:rsid w:val="4CA02E7A"/>
    <w:rsid w:val="4CA24E44"/>
    <w:rsid w:val="4CA53AF2"/>
    <w:rsid w:val="4CAD2284"/>
    <w:rsid w:val="4CB84667"/>
    <w:rsid w:val="4CCA439B"/>
    <w:rsid w:val="4CCD0192"/>
    <w:rsid w:val="4CD8042C"/>
    <w:rsid w:val="4CE24DC2"/>
    <w:rsid w:val="4D106251"/>
    <w:rsid w:val="4D1769A6"/>
    <w:rsid w:val="4D2B308B"/>
    <w:rsid w:val="4D387556"/>
    <w:rsid w:val="4D412B24"/>
    <w:rsid w:val="4D4E28D6"/>
    <w:rsid w:val="4D527B0F"/>
    <w:rsid w:val="4D5C1C0C"/>
    <w:rsid w:val="4D6B792C"/>
    <w:rsid w:val="4D752558"/>
    <w:rsid w:val="4D812AEE"/>
    <w:rsid w:val="4D82661A"/>
    <w:rsid w:val="4D84279B"/>
    <w:rsid w:val="4D904DAA"/>
    <w:rsid w:val="4D9216CD"/>
    <w:rsid w:val="4D94224E"/>
    <w:rsid w:val="4D956757"/>
    <w:rsid w:val="4DAD3AA0"/>
    <w:rsid w:val="4DAF77C9"/>
    <w:rsid w:val="4DB41BA5"/>
    <w:rsid w:val="4DB72B71"/>
    <w:rsid w:val="4DBA440F"/>
    <w:rsid w:val="4DBE1B32"/>
    <w:rsid w:val="4DCD5EF0"/>
    <w:rsid w:val="4DD94895"/>
    <w:rsid w:val="4DE33966"/>
    <w:rsid w:val="4E0C5E77"/>
    <w:rsid w:val="4E1A43BD"/>
    <w:rsid w:val="4E21623C"/>
    <w:rsid w:val="4E3A4E06"/>
    <w:rsid w:val="4E3B72FE"/>
    <w:rsid w:val="4E3C6BD2"/>
    <w:rsid w:val="4E564138"/>
    <w:rsid w:val="4E5E2FEC"/>
    <w:rsid w:val="4E683E6B"/>
    <w:rsid w:val="4E6A7BE3"/>
    <w:rsid w:val="4E8F13F8"/>
    <w:rsid w:val="4ECC43FA"/>
    <w:rsid w:val="4EDD690D"/>
    <w:rsid w:val="4EFB05E3"/>
    <w:rsid w:val="4F161B19"/>
    <w:rsid w:val="4F162174"/>
    <w:rsid w:val="4F1D6627"/>
    <w:rsid w:val="4F2200D6"/>
    <w:rsid w:val="4F310701"/>
    <w:rsid w:val="4F337FD5"/>
    <w:rsid w:val="4F42290E"/>
    <w:rsid w:val="4F5543EF"/>
    <w:rsid w:val="4F5F526E"/>
    <w:rsid w:val="4F5F701C"/>
    <w:rsid w:val="4F602D94"/>
    <w:rsid w:val="4F624D5E"/>
    <w:rsid w:val="4F781E8C"/>
    <w:rsid w:val="4F9667B6"/>
    <w:rsid w:val="4FB03FEC"/>
    <w:rsid w:val="4FCD667C"/>
    <w:rsid w:val="4FDA2B47"/>
    <w:rsid w:val="4FF95922"/>
    <w:rsid w:val="502C00CB"/>
    <w:rsid w:val="50323B01"/>
    <w:rsid w:val="50334495"/>
    <w:rsid w:val="503361A2"/>
    <w:rsid w:val="50377F99"/>
    <w:rsid w:val="50384256"/>
    <w:rsid w:val="5039786D"/>
    <w:rsid w:val="50546455"/>
    <w:rsid w:val="505634DB"/>
    <w:rsid w:val="505C7A00"/>
    <w:rsid w:val="507F390D"/>
    <w:rsid w:val="50B851F1"/>
    <w:rsid w:val="50B92785"/>
    <w:rsid w:val="50BF3DBA"/>
    <w:rsid w:val="50E43E70"/>
    <w:rsid w:val="50E93A79"/>
    <w:rsid w:val="50E95C79"/>
    <w:rsid w:val="50F86586"/>
    <w:rsid w:val="510C586A"/>
    <w:rsid w:val="511300BE"/>
    <w:rsid w:val="511A58F1"/>
    <w:rsid w:val="512978E2"/>
    <w:rsid w:val="512D6CA6"/>
    <w:rsid w:val="51343C8C"/>
    <w:rsid w:val="51373DEC"/>
    <w:rsid w:val="514A7858"/>
    <w:rsid w:val="514F1FA1"/>
    <w:rsid w:val="51550ECA"/>
    <w:rsid w:val="51586419"/>
    <w:rsid w:val="516A3A56"/>
    <w:rsid w:val="517174DB"/>
    <w:rsid w:val="51840539"/>
    <w:rsid w:val="518E1E3B"/>
    <w:rsid w:val="5196484B"/>
    <w:rsid w:val="51CE0489"/>
    <w:rsid w:val="51D51818"/>
    <w:rsid w:val="51EB4B97"/>
    <w:rsid w:val="51F53C68"/>
    <w:rsid w:val="52067C23"/>
    <w:rsid w:val="521340EE"/>
    <w:rsid w:val="521C11F4"/>
    <w:rsid w:val="52304CA0"/>
    <w:rsid w:val="5237602E"/>
    <w:rsid w:val="52432C25"/>
    <w:rsid w:val="5244074B"/>
    <w:rsid w:val="526479F4"/>
    <w:rsid w:val="527821A3"/>
    <w:rsid w:val="5294522F"/>
    <w:rsid w:val="52950FA7"/>
    <w:rsid w:val="52976ACD"/>
    <w:rsid w:val="5298570C"/>
    <w:rsid w:val="529B6283"/>
    <w:rsid w:val="52B96A43"/>
    <w:rsid w:val="52CD5231"/>
    <w:rsid w:val="52D95D46"/>
    <w:rsid w:val="52E02222"/>
    <w:rsid w:val="53202F66"/>
    <w:rsid w:val="535D3998"/>
    <w:rsid w:val="5373074A"/>
    <w:rsid w:val="53794EEA"/>
    <w:rsid w:val="537D3F15"/>
    <w:rsid w:val="538501A4"/>
    <w:rsid w:val="5392004D"/>
    <w:rsid w:val="53B042EA"/>
    <w:rsid w:val="53CD4190"/>
    <w:rsid w:val="53CF0730"/>
    <w:rsid w:val="53D53D51"/>
    <w:rsid w:val="53E144A4"/>
    <w:rsid w:val="53EC78B0"/>
    <w:rsid w:val="53F22F0A"/>
    <w:rsid w:val="53F341D7"/>
    <w:rsid w:val="54036E8C"/>
    <w:rsid w:val="540C5299"/>
    <w:rsid w:val="54370568"/>
    <w:rsid w:val="54420CBA"/>
    <w:rsid w:val="547277F2"/>
    <w:rsid w:val="549F610D"/>
    <w:rsid w:val="54A948CB"/>
    <w:rsid w:val="54AD4949"/>
    <w:rsid w:val="54D030F6"/>
    <w:rsid w:val="54ED50CA"/>
    <w:rsid w:val="54EF2BF0"/>
    <w:rsid w:val="54F92E48"/>
    <w:rsid w:val="550146D2"/>
    <w:rsid w:val="5517016B"/>
    <w:rsid w:val="553D1BAE"/>
    <w:rsid w:val="554817B2"/>
    <w:rsid w:val="554F7B33"/>
    <w:rsid w:val="555B1FDC"/>
    <w:rsid w:val="55676C2B"/>
    <w:rsid w:val="55913CA7"/>
    <w:rsid w:val="559F31E2"/>
    <w:rsid w:val="55A57753"/>
    <w:rsid w:val="55A74996"/>
    <w:rsid w:val="55B21D4E"/>
    <w:rsid w:val="55BE25C3"/>
    <w:rsid w:val="55DD0C9B"/>
    <w:rsid w:val="55FD30EB"/>
    <w:rsid w:val="561548D9"/>
    <w:rsid w:val="561870C5"/>
    <w:rsid w:val="562C39D0"/>
    <w:rsid w:val="5633540E"/>
    <w:rsid w:val="56517377"/>
    <w:rsid w:val="56644F18"/>
    <w:rsid w:val="56760B7F"/>
    <w:rsid w:val="56830C54"/>
    <w:rsid w:val="56A1616C"/>
    <w:rsid w:val="56A33100"/>
    <w:rsid w:val="56C42B2E"/>
    <w:rsid w:val="56C90818"/>
    <w:rsid w:val="56CC757E"/>
    <w:rsid w:val="56D07339"/>
    <w:rsid w:val="56D976B4"/>
    <w:rsid w:val="56E17DEA"/>
    <w:rsid w:val="56F07E72"/>
    <w:rsid w:val="57030BD5"/>
    <w:rsid w:val="57042282"/>
    <w:rsid w:val="57081D47"/>
    <w:rsid w:val="573963A5"/>
    <w:rsid w:val="57470040"/>
    <w:rsid w:val="575478EB"/>
    <w:rsid w:val="578515EA"/>
    <w:rsid w:val="579932E7"/>
    <w:rsid w:val="57AA2DFF"/>
    <w:rsid w:val="57B95FDB"/>
    <w:rsid w:val="57D04F5B"/>
    <w:rsid w:val="57DB740C"/>
    <w:rsid w:val="57E508CA"/>
    <w:rsid w:val="57EE3633"/>
    <w:rsid w:val="57F64296"/>
    <w:rsid w:val="57FA6696"/>
    <w:rsid w:val="580C03E7"/>
    <w:rsid w:val="58300E4A"/>
    <w:rsid w:val="58374AF3"/>
    <w:rsid w:val="583F79EB"/>
    <w:rsid w:val="58521E3C"/>
    <w:rsid w:val="585B059D"/>
    <w:rsid w:val="58615BB3"/>
    <w:rsid w:val="586B4C84"/>
    <w:rsid w:val="587F24DD"/>
    <w:rsid w:val="5887626D"/>
    <w:rsid w:val="5889335C"/>
    <w:rsid w:val="58991A45"/>
    <w:rsid w:val="58AD704A"/>
    <w:rsid w:val="58D817E6"/>
    <w:rsid w:val="58E43968"/>
    <w:rsid w:val="58F92290"/>
    <w:rsid w:val="58F93C0A"/>
    <w:rsid w:val="59012EF2"/>
    <w:rsid w:val="59301A29"/>
    <w:rsid w:val="593947E3"/>
    <w:rsid w:val="59505C28"/>
    <w:rsid w:val="5966544B"/>
    <w:rsid w:val="598E28EC"/>
    <w:rsid w:val="59BD32BD"/>
    <w:rsid w:val="59CC1091"/>
    <w:rsid w:val="59DF5872"/>
    <w:rsid w:val="59E545C2"/>
    <w:rsid w:val="59E7033A"/>
    <w:rsid w:val="59EF3BD2"/>
    <w:rsid w:val="59FA62BF"/>
    <w:rsid w:val="59FE3163"/>
    <w:rsid w:val="5A1D5B0A"/>
    <w:rsid w:val="5A225816"/>
    <w:rsid w:val="5A250E62"/>
    <w:rsid w:val="5A2A0227"/>
    <w:rsid w:val="5A5E4A91"/>
    <w:rsid w:val="5A9E49E8"/>
    <w:rsid w:val="5AB3021C"/>
    <w:rsid w:val="5ADD34EB"/>
    <w:rsid w:val="5ADE1CCB"/>
    <w:rsid w:val="5AE07F58"/>
    <w:rsid w:val="5AEB20AC"/>
    <w:rsid w:val="5AF078D1"/>
    <w:rsid w:val="5AFE26B7"/>
    <w:rsid w:val="5B000E34"/>
    <w:rsid w:val="5B0033BF"/>
    <w:rsid w:val="5B043399"/>
    <w:rsid w:val="5B070568"/>
    <w:rsid w:val="5B072CED"/>
    <w:rsid w:val="5B0A62C6"/>
    <w:rsid w:val="5B174C4F"/>
    <w:rsid w:val="5B2A2BD4"/>
    <w:rsid w:val="5B4D241F"/>
    <w:rsid w:val="5B6D486F"/>
    <w:rsid w:val="5B743E4F"/>
    <w:rsid w:val="5BA54009"/>
    <w:rsid w:val="5BB604F1"/>
    <w:rsid w:val="5BC8419B"/>
    <w:rsid w:val="5BFC7F80"/>
    <w:rsid w:val="5C0C010D"/>
    <w:rsid w:val="5C133668"/>
    <w:rsid w:val="5C1E6D45"/>
    <w:rsid w:val="5C2C00C5"/>
    <w:rsid w:val="5C470A30"/>
    <w:rsid w:val="5C491F27"/>
    <w:rsid w:val="5C4A2E02"/>
    <w:rsid w:val="5C5B15F2"/>
    <w:rsid w:val="5C702869"/>
    <w:rsid w:val="5C7E7F84"/>
    <w:rsid w:val="5CAC13C7"/>
    <w:rsid w:val="5CB27EE7"/>
    <w:rsid w:val="5CC04E72"/>
    <w:rsid w:val="5CD947B2"/>
    <w:rsid w:val="5CE2128D"/>
    <w:rsid w:val="5D014763"/>
    <w:rsid w:val="5D255365"/>
    <w:rsid w:val="5D477021"/>
    <w:rsid w:val="5D4E5BA8"/>
    <w:rsid w:val="5D5E6B65"/>
    <w:rsid w:val="5D61217D"/>
    <w:rsid w:val="5D621348"/>
    <w:rsid w:val="5D681792"/>
    <w:rsid w:val="5D6D6DA8"/>
    <w:rsid w:val="5D893022"/>
    <w:rsid w:val="5D9372F4"/>
    <w:rsid w:val="5DA57FEE"/>
    <w:rsid w:val="5DAE616B"/>
    <w:rsid w:val="5DB77D01"/>
    <w:rsid w:val="5DBB5701"/>
    <w:rsid w:val="5DBF22F9"/>
    <w:rsid w:val="5DC60FED"/>
    <w:rsid w:val="5DC7688B"/>
    <w:rsid w:val="5DCF35BF"/>
    <w:rsid w:val="5DF24B50"/>
    <w:rsid w:val="5E023994"/>
    <w:rsid w:val="5E065D78"/>
    <w:rsid w:val="5E1062BF"/>
    <w:rsid w:val="5E2C27BF"/>
    <w:rsid w:val="5E303CEE"/>
    <w:rsid w:val="5E3653EC"/>
    <w:rsid w:val="5E3F236F"/>
    <w:rsid w:val="5E421185"/>
    <w:rsid w:val="5E556D8C"/>
    <w:rsid w:val="5E6A32E8"/>
    <w:rsid w:val="5E6C29E8"/>
    <w:rsid w:val="5E710B1A"/>
    <w:rsid w:val="5E802B0B"/>
    <w:rsid w:val="5E96232F"/>
    <w:rsid w:val="5E9B5AB1"/>
    <w:rsid w:val="5E9D190F"/>
    <w:rsid w:val="5EA82D2F"/>
    <w:rsid w:val="5EBD5B0D"/>
    <w:rsid w:val="5EEA61D6"/>
    <w:rsid w:val="5EF00A9F"/>
    <w:rsid w:val="5F1167D9"/>
    <w:rsid w:val="5F335DCF"/>
    <w:rsid w:val="5F492C8E"/>
    <w:rsid w:val="5F5226F9"/>
    <w:rsid w:val="5F5521EA"/>
    <w:rsid w:val="5F552890"/>
    <w:rsid w:val="5F654A38"/>
    <w:rsid w:val="5F667F53"/>
    <w:rsid w:val="5F710167"/>
    <w:rsid w:val="5F8B70D8"/>
    <w:rsid w:val="5F9E7655"/>
    <w:rsid w:val="5FAC3308"/>
    <w:rsid w:val="5FE3453E"/>
    <w:rsid w:val="5FE84CD7"/>
    <w:rsid w:val="5FED0532"/>
    <w:rsid w:val="60161979"/>
    <w:rsid w:val="6017124D"/>
    <w:rsid w:val="60172FFB"/>
    <w:rsid w:val="60193851"/>
    <w:rsid w:val="602032E3"/>
    <w:rsid w:val="60242381"/>
    <w:rsid w:val="6033700D"/>
    <w:rsid w:val="605B3830"/>
    <w:rsid w:val="6062610E"/>
    <w:rsid w:val="606C3347"/>
    <w:rsid w:val="60771CEC"/>
    <w:rsid w:val="60940AF0"/>
    <w:rsid w:val="609D1311"/>
    <w:rsid w:val="60A800F7"/>
    <w:rsid w:val="60BB7819"/>
    <w:rsid w:val="60BF1CDB"/>
    <w:rsid w:val="60BF5B6D"/>
    <w:rsid w:val="60C34F31"/>
    <w:rsid w:val="60C72C73"/>
    <w:rsid w:val="60CD4C95"/>
    <w:rsid w:val="610B5D8F"/>
    <w:rsid w:val="611C2D78"/>
    <w:rsid w:val="612105D5"/>
    <w:rsid w:val="61284CC2"/>
    <w:rsid w:val="61442516"/>
    <w:rsid w:val="615F476F"/>
    <w:rsid w:val="6187691D"/>
    <w:rsid w:val="61891CD7"/>
    <w:rsid w:val="6189617B"/>
    <w:rsid w:val="61952D71"/>
    <w:rsid w:val="61A20164"/>
    <w:rsid w:val="61B94FE1"/>
    <w:rsid w:val="61BE5C44"/>
    <w:rsid w:val="61CB3795"/>
    <w:rsid w:val="61D218D0"/>
    <w:rsid w:val="61E138C1"/>
    <w:rsid w:val="61EA4E6B"/>
    <w:rsid w:val="61ED04B8"/>
    <w:rsid w:val="61FC06FB"/>
    <w:rsid w:val="620D46B6"/>
    <w:rsid w:val="62153E49"/>
    <w:rsid w:val="623F2739"/>
    <w:rsid w:val="625C73EB"/>
    <w:rsid w:val="626C3AD2"/>
    <w:rsid w:val="626F35C2"/>
    <w:rsid w:val="6287090C"/>
    <w:rsid w:val="628D6F30"/>
    <w:rsid w:val="6294694F"/>
    <w:rsid w:val="629628FD"/>
    <w:rsid w:val="629B6165"/>
    <w:rsid w:val="62B17737"/>
    <w:rsid w:val="62C44D37"/>
    <w:rsid w:val="62CA5B75"/>
    <w:rsid w:val="62D82F16"/>
    <w:rsid w:val="62F236D1"/>
    <w:rsid w:val="62F4223C"/>
    <w:rsid w:val="62F60FD0"/>
    <w:rsid w:val="62FB4E56"/>
    <w:rsid w:val="630755A9"/>
    <w:rsid w:val="630E2DDB"/>
    <w:rsid w:val="630F445E"/>
    <w:rsid w:val="631B72A6"/>
    <w:rsid w:val="632139F6"/>
    <w:rsid w:val="632223E3"/>
    <w:rsid w:val="633F2F95"/>
    <w:rsid w:val="634C56B2"/>
    <w:rsid w:val="63584057"/>
    <w:rsid w:val="635F3577"/>
    <w:rsid w:val="63682D58"/>
    <w:rsid w:val="63744E80"/>
    <w:rsid w:val="637B4DAF"/>
    <w:rsid w:val="63841951"/>
    <w:rsid w:val="638D0903"/>
    <w:rsid w:val="639826A5"/>
    <w:rsid w:val="63B84AF5"/>
    <w:rsid w:val="63BF7C32"/>
    <w:rsid w:val="63C11364"/>
    <w:rsid w:val="63D414A8"/>
    <w:rsid w:val="63E91153"/>
    <w:rsid w:val="63F16DD5"/>
    <w:rsid w:val="63F27828"/>
    <w:rsid w:val="63F45D2C"/>
    <w:rsid w:val="640224B7"/>
    <w:rsid w:val="64061775"/>
    <w:rsid w:val="64105FBC"/>
    <w:rsid w:val="64137F7D"/>
    <w:rsid w:val="64191A38"/>
    <w:rsid w:val="642663F5"/>
    <w:rsid w:val="64281C7B"/>
    <w:rsid w:val="642D7291"/>
    <w:rsid w:val="64305963"/>
    <w:rsid w:val="6477050C"/>
    <w:rsid w:val="64881087"/>
    <w:rsid w:val="64C00105"/>
    <w:rsid w:val="64C95D8F"/>
    <w:rsid w:val="64DF6B47"/>
    <w:rsid w:val="650E0E71"/>
    <w:rsid w:val="652A1A23"/>
    <w:rsid w:val="654C7BEB"/>
    <w:rsid w:val="655A40B6"/>
    <w:rsid w:val="65675D6A"/>
    <w:rsid w:val="65876E75"/>
    <w:rsid w:val="658A5984"/>
    <w:rsid w:val="65A457F8"/>
    <w:rsid w:val="65CB0B10"/>
    <w:rsid w:val="65CD346F"/>
    <w:rsid w:val="65E6134E"/>
    <w:rsid w:val="65E83723"/>
    <w:rsid w:val="65EF593A"/>
    <w:rsid w:val="65F056C5"/>
    <w:rsid w:val="66092364"/>
    <w:rsid w:val="660C6BBD"/>
    <w:rsid w:val="66285F62"/>
    <w:rsid w:val="66432D9C"/>
    <w:rsid w:val="664E60E1"/>
    <w:rsid w:val="665965F2"/>
    <w:rsid w:val="66642F38"/>
    <w:rsid w:val="666B2E94"/>
    <w:rsid w:val="667A7A34"/>
    <w:rsid w:val="66805D9E"/>
    <w:rsid w:val="669E0497"/>
    <w:rsid w:val="669E7FD2"/>
    <w:rsid w:val="66AA6710"/>
    <w:rsid w:val="66B477F6"/>
    <w:rsid w:val="66F83B86"/>
    <w:rsid w:val="66FE4F15"/>
    <w:rsid w:val="670C5884"/>
    <w:rsid w:val="67226E55"/>
    <w:rsid w:val="672D1356"/>
    <w:rsid w:val="67346B89"/>
    <w:rsid w:val="673D5673"/>
    <w:rsid w:val="67492634"/>
    <w:rsid w:val="676254A4"/>
    <w:rsid w:val="67650AF0"/>
    <w:rsid w:val="678A67A9"/>
    <w:rsid w:val="678C0773"/>
    <w:rsid w:val="67950437"/>
    <w:rsid w:val="67AC259D"/>
    <w:rsid w:val="67B026C9"/>
    <w:rsid w:val="67B13D35"/>
    <w:rsid w:val="67E10ABE"/>
    <w:rsid w:val="67EE03D0"/>
    <w:rsid w:val="67F96005"/>
    <w:rsid w:val="681738BA"/>
    <w:rsid w:val="681C38A5"/>
    <w:rsid w:val="681C6DEA"/>
    <w:rsid w:val="68442DFB"/>
    <w:rsid w:val="684D7F02"/>
    <w:rsid w:val="68650D26"/>
    <w:rsid w:val="68751207"/>
    <w:rsid w:val="687E00BB"/>
    <w:rsid w:val="688F22C8"/>
    <w:rsid w:val="689939B6"/>
    <w:rsid w:val="68C71DD3"/>
    <w:rsid w:val="68D4417F"/>
    <w:rsid w:val="68D979E8"/>
    <w:rsid w:val="68E63EB3"/>
    <w:rsid w:val="690D7691"/>
    <w:rsid w:val="6925282D"/>
    <w:rsid w:val="6931512E"/>
    <w:rsid w:val="693764BC"/>
    <w:rsid w:val="693B7312"/>
    <w:rsid w:val="6940217B"/>
    <w:rsid w:val="696077C1"/>
    <w:rsid w:val="697417A7"/>
    <w:rsid w:val="6987701B"/>
    <w:rsid w:val="69A6171F"/>
    <w:rsid w:val="69C71A14"/>
    <w:rsid w:val="69DB0FEE"/>
    <w:rsid w:val="69EB1906"/>
    <w:rsid w:val="69F17170"/>
    <w:rsid w:val="69FB573C"/>
    <w:rsid w:val="6A0665BA"/>
    <w:rsid w:val="6A066A76"/>
    <w:rsid w:val="6A0942FC"/>
    <w:rsid w:val="6A0B3BD1"/>
    <w:rsid w:val="6A2922A9"/>
    <w:rsid w:val="6A2E78BF"/>
    <w:rsid w:val="6A334ED5"/>
    <w:rsid w:val="6A48221F"/>
    <w:rsid w:val="6A5D01A4"/>
    <w:rsid w:val="6A984C41"/>
    <w:rsid w:val="6A9A4F55"/>
    <w:rsid w:val="6AB62BC4"/>
    <w:rsid w:val="6ABF152D"/>
    <w:rsid w:val="6AD761A9"/>
    <w:rsid w:val="6AEB2D38"/>
    <w:rsid w:val="6AF208ED"/>
    <w:rsid w:val="6B040620"/>
    <w:rsid w:val="6B0D315A"/>
    <w:rsid w:val="6B1940CB"/>
    <w:rsid w:val="6B2A277C"/>
    <w:rsid w:val="6B2C4A77"/>
    <w:rsid w:val="6B713F07"/>
    <w:rsid w:val="6B753F21"/>
    <w:rsid w:val="6B7925B5"/>
    <w:rsid w:val="6B823960"/>
    <w:rsid w:val="6B9C3A0A"/>
    <w:rsid w:val="6BB5775C"/>
    <w:rsid w:val="6BB90FAB"/>
    <w:rsid w:val="6BF80185"/>
    <w:rsid w:val="6BFF59B7"/>
    <w:rsid w:val="6C1F3963"/>
    <w:rsid w:val="6C3162DA"/>
    <w:rsid w:val="6C4038DA"/>
    <w:rsid w:val="6C4C3880"/>
    <w:rsid w:val="6C501D6F"/>
    <w:rsid w:val="6C5B5AE9"/>
    <w:rsid w:val="6C7F2654"/>
    <w:rsid w:val="6C8D4D71"/>
    <w:rsid w:val="6C9713ED"/>
    <w:rsid w:val="6CA468E0"/>
    <w:rsid w:val="6CA976D1"/>
    <w:rsid w:val="6CAD0F6F"/>
    <w:rsid w:val="6CAF7721"/>
    <w:rsid w:val="6CB467A2"/>
    <w:rsid w:val="6CB95A5F"/>
    <w:rsid w:val="6CD52274"/>
    <w:rsid w:val="6CE1330F"/>
    <w:rsid w:val="6CF90658"/>
    <w:rsid w:val="6D050DAB"/>
    <w:rsid w:val="6D25144D"/>
    <w:rsid w:val="6D260D22"/>
    <w:rsid w:val="6D3671B7"/>
    <w:rsid w:val="6D374CDD"/>
    <w:rsid w:val="6D5532B9"/>
    <w:rsid w:val="6D5B50DE"/>
    <w:rsid w:val="6D607AAF"/>
    <w:rsid w:val="6D8D2B4F"/>
    <w:rsid w:val="6D960444"/>
    <w:rsid w:val="6DAE1836"/>
    <w:rsid w:val="6DC80CEB"/>
    <w:rsid w:val="6DEF229A"/>
    <w:rsid w:val="6DFA6436"/>
    <w:rsid w:val="6DFB21AE"/>
    <w:rsid w:val="6E1A09F0"/>
    <w:rsid w:val="6E1F5E9D"/>
    <w:rsid w:val="6E4C0C5C"/>
    <w:rsid w:val="6E702D0B"/>
    <w:rsid w:val="6E8B11F2"/>
    <w:rsid w:val="6E930639"/>
    <w:rsid w:val="6EA14B04"/>
    <w:rsid w:val="6EC3467D"/>
    <w:rsid w:val="6EE22748"/>
    <w:rsid w:val="6EE964AB"/>
    <w:rsid w:val="6F000DEF"/>
    <w:rsid w:val="6F094457"/>
    <w:rsid w:val="6F2177A4"/>
    <w:rsid w:val="6F2614AD"/>
    <w:rsid w:val="6F262186"/>
    <w:rsid w:val="6F2D6397"/>
    <w:rsid w:val="6F321C00"/>
    <w:rsid w:val="6F343BCA"/>
    <w:rsid w:val="6F3E7EF0"/>
    <w:rsid w:val="6F40256E"/>
    <w:rsid w:val="6F411E43"/>
    <w:rsid w:val="6F451933"/>
    <w:rsid w:val="6F4B268A"/>
    <w:rsid w:val="6F5E21BF"/>
    <w:rsid w:val="6F6F69B0"/>
    <w:rsid w:val="6F742218"/>
    <w:rsid w:val="6F745D74"/>
    <w:rsid w:val="6F9836F2"/>
    <w:rsid w:val="6F9E4B27"/>
    <w:rsid w:val="6FA01CFF"/>
    <w:rsid w:val="6FA10B33"/>
    <w:rsid w:val="6FA6174C"/>
    <w:rsid w:val="6FAD572A"/>
    <w:rsid w:val="6FB03BF4"/>
    <w:rsid w:val="6FB72105"/>
    <w:rsid w:val="6FCF744E"/>
    <w:rsid w:val="6FD67C95"/>
    <w:rsid w:val="6FD76303"/>
    <w:rsid w:val="6FD9207B"/>
    <w:rsid w:val="70101F69"/>
    <w:rsid w:val="701557A9"/>
    <w:rsid w:val="70161521"/>
    <w:rsid w:val="70180CEA"/>
    <w:rsid w:val="70202F02"/>
    <w:rsid w:val="70311EB7"/>
    <w:rsid w:val="703D085C"/>
    <w:rsid w:val="703F45D4"/>
    <w:rsid w:val="704E0CBB"/>
    <w:rsid w:val="70592EF1"/>
    <w:rsid w:val="705B0CE2"/>
    <w:rsid w:val="705D4B36"/>
    <w:rsid w:val="70672C5C"/>
    <w:rsid w:val="7073520F"/>
    <w:rsid w:val="707B1384"/>
    <w:rsid w:val="708404D0"/>
    <w:rsid w:val="70A1528F"/>
    <w:rsid w:val="70A2025E"/>
    <w:rsid w:val="70A408DB"/>
    <w:rsid w:val="70C17F98"/>
    <w:rsid w:val="70CE4DDF"/>
    <w:rsid w:val="70D0347E"/>
    <w:rsid w:val="70D2143C"/>
    <w:rsid w:val="70DD3639"/>
    <w:rsid w:val="70EE6E79"/>
    <w:rsid w:val="70F73101"/>
    <w:rsid w:val="70F76C5D"/>
    <w:rsid w:val="71033854"/>
    <w:rsid w:val="71080E6A"/>
    <w:rsid w:val="710B6BAC"/>
    <w:rsid w:val="71107D1F"/>
    <w:rsid w:val="71145A61"/>
    <w:rsid w:val="71303F5E"/>
    <w:rsid w:val="7157594D"/>
    <w:rsid w:val="715776FB"/>
    <w:rsid w:val="71687ABE"/>
    <w:rsid w:val="71704C61"/>
    <w:rsid w:val="71736146"/>
    <w:rsid w:val="71864485"/>
    <w:rsid w:val="718A39A6"/>
    <w:rsid w:val="718D2089"/>
    <w:rsid w:val="71AB66EE"/>
    <w:rsid w:val="721C3121"/>
    <w:rsid w:val="722241AD"/>
    <w:rsid w:val="723839D1"/>
    <w:rsid w:val="726C04E4"/>
    <w:rsid w:val="727B40A7"/>
    <w:rsid w:val="727D13E4"/>
    <w:rsid w:val="72A03324"/>
    <w:rsid w:val="72DB5F8B"/>
    <w:rsid w:val="72EB4614"/>
    <w:rsid w:val="72F43AE3"/>
    <w:rsid w:val="73091DE9"/>
    <w:rsid w:val="731F06ED"/>
    <w:rsid w:val="73201944"/>
    <w:rsid w:val="73306456"/>
    <w:rsid w:val="73561C1E"/>
    <w:rsid w:val="736425A4"/>
    <w:rsid w:val="73770529"/>
    <w:rsid w:val="73822049"/>
    <w:rsid w:val="73836DA0"/>
    <w:rsid w:val="7399049F"/>
    <w:rsid w:val="73EA0CFB"/>
    <w:rsid w:val="742A10F7"/>
    <w:rsid w:val="74366242"/>
    <w:rsid w:val="74390835"/>
    <w:rsid w:val="74393A30"/>
    <w:rsid w:val="743C0E2B"/>
    <w:rsid w:val="7443040B"/>
    <w:rsid w:val="74561EEC"/>
    <w:rsid w:val="74650381"/>
    <w:rsid w:val="748A7DE8"/>
    <w:rsid w:val="74AC7D5E"/>
    <w:rsid w:val="74AF1419"/>
    <w:rsid w:val="74B01EAD"/>
    <w:rsid w:val="74BD640F"/>
    <w:rsid w:val="74C0380A"/>
    <w:rsid w:val="74C57072"/>
    <w:rsid w:val="751122B7"/>
    <w:rsid w:val="75297601"/>
    <w:rsid w:val="75381CFD"/>
    <w:rsid w:val="75396923"/>
    <w:rsid w:val="754A353C"/>
    <w:rsid w:val="755F0D67"/>
    <w:rsid w:val="757139A8"/>
    <w:rsid w:val="75856EB5"/>
    <w:rsid w:val="75893930"/>
    <w:rsid w:val="759D0D09"/>
    <w:rsid w:val="75A5137D"/>
    <w:rsid w:val="75AC4355"/>
    <w:rsid w:val="75D02176"/>
    <w:rsid w:val="75D24B29"/>
    <w:rsid w:val="75EC236C"/>
    <w:rsid w:val="75ED4AD2"/>
    <w:rsid w:val="75F27C3C"/>
    <w:rsid w:val="75F55735"/>
    <w:rsid w:val="75FE283B"/>
    <w:rsid w:val="76051E1C"/>
    <w:rsid w:val="760F4A49"/>
    <w:rsid w:val="7610431D"/>
    <w:rsid w:val="7614205F"/>
    <w:rsid w:val="7625234E"/>
    <w:rsid w:val="762D1373"/>
    <w:rsid w:val="76404C02"/>
    <w:rsid w:val="765C54A6"/>
    <w:rsid w:val="769136B0"/>
    <w:rsid w:val="76932DB3"/>
    <w:rsid w:val="76A76A7D"/>
    <w:rsid w:val="76B80C3C"/>
    <w:rsid w:val="76BD2C29"/>
    <w:rsid w:val="76C05D43"/>
    <w:rsid w:val="76D812DE"/>
    <w:rsid w:val="76E618C8"/>
    <w:rsid w:val="76ED481A"/>
    <w:rsid w:val="76F413D8"/>
    <w:rsid w:val="771A42A0"/>
    <w:rsid w:val="77440722"/>
    <w:rsid w:val="77456248"/>
    <w:rsid w:val="774D7DB1"/>
    <w:rsid w:val="775C3CBE"/>
    <w:rsid w:val="778D7592"/>
    <w:rsid w:val="779276DF"/>
    <w:rsid w:val="7793453E"/>
    <w:rsid w:val="77A46F0B"/>
    <w:rsid w:val="77BA6C36"/>
    <w:rsid w:val="77DE2925"/>
    <w:rsid w:val="77E31FB8"/>
    <w:rsid w:val="77E629A3"/>
    <w:rsid w:val="77F967D4"/>
    <w:rsid w:val="77FA34D6"/>
    <w:rsid w:val="77FA5D85"/>
    <w:rsid w:val="77FE3051"/>
    <w:rsid w:val="7803238B"/>
    <w:rsid w:val="780879A1"/>
    <w:rsid w:val="781D0955"/>
    <w:rsid w:val="78306EF8"/>
    <w:rsid w:val="78372035"/>
    <w:rsid w:val="785901FD"/>
    <w:rsid w:val="78656868"/>
    <w:rsid w:val="786E7C65"/>
    <w:rsid w:val="78947487"/>
    <w:rsid w:val="78A26AF3"/>
    <w:rsid w:val="78B84F4A"/>
    <w:rsid w:val="78C0027C"/>
    <w:rsid w:val="78CC4E73"/>
    <w:rsid w:val="78CD346B"/>
    <w:rsid w:val="78F74CE4"/>
    <w:rsid w:val="78FB3062"/>
    <w:rsid w:val="78FE478C"/>
    <w:rsid w:val="79022643"/>
    <w:rsid w:val="79077C59"/>
    <w:rsid w:val="790F6B0E"/>
    <w:rsid w:val="79183C14"/>
    <w:rsid w:val="7959575E"/>
    <w:rsid w:val="795F1843"/>
    <w:rsid w:val="79766B8D"/>
    <w:rsid w:val="797A042B"/>
    <w:rsid w:val="797F1EE5"/>
    <w:rsid w:val="798273D9"/>
    <w:rsid w:val="798F7942"/>
    <w:rsid w:val="79935991"/>
    <w:rsid w:val="79A42F5C"/>
    <w:rsid w:val="79AD1FFF"/>
    <w:rsid w:val="79C21DD2"/>
    <w:rsid w:val="79D27FA4"/>
    <w:rsid w:val="79F17474"/>
    <w:rsid w:val="7A04063C"/>
    <w:rsid w:val="7A2F605F"/>
    <w:rsid w:val="7A2F65AA"/>
    <w:rsid w:val="7A392094"/>
    <w:rsid w:val="7A3973E9"/>
    <w:rsid w:val="7A3D2585"/>
    <w:rsid w:val="7A4D1FE3"/>
    <w:rsid w:val="7A5B24AB"/>
    <w:rsid w:val="7A7E3F4B"/>
    <w:rsid w:val="7A8E594F"/>
    <w:rsid w:val="7A97500D"/>
    <w:rsid w:val="7A992B33"/>
    <w:rsid w:val="7AA31C03"/>
    <w:rsid w:val="7AAF05A8"/>
    <w:rsid w:val="7AC322A6"/>
    <w:rsid w:val="7ADB139D"/>
    <w:rsid w:val="7ADC37FF"/>
    <w:rsid w:val="7ADE0E8D"/>
    <w:rsid w:val="7AF30181"/>
    <w:rsid w:val="7B0703E4"/>
    <w:rsid w:val="7B114DBF"/>
    <w:rsid w:val="7B187EFC"/>
    <w:rsid w:val="7B195F1B"/>
    <w:rsid w:val="7B223D6B"/>
    <w:rsid w:val="7B31720F"/>
    <w:rsid w:val="7B3960C4"/>
    <w:rsid w:val="7B3E36DA"/>
    <w:rsid w:val="7B580C1C"/>
    <w:rsid w:val="7B9308B8"/>
    <w:rsid w:val="7B935E6D"/>
    <w:rsid w:val="7B9B1144"/>
    <w:rsid w:val="7BAE7E54"/>
    <w:rsid w:val="7BB44B09"/>
    <w:rsid w:val="7BB816DF"/>
    <w:rsid w:val="7BCE4A5E"/>
    <w:rsid w:val="7BD83B2F"/>
    <w:rsid w:val="7BEF6D51"/>
    <w:rsid w:val="7BF07693"/>
    <w:rsid w:val="7BFC2078"/>
    <w:rsid w:val="7C0466D2"/>
    <w:rsid w:val="7C26738C"/>
    <w:rsid w:val="7C490589"/>
    <w:rsid w:val="7C547659"/>
    <w:rsid w:val="7C727ADF"/>
    <w:rsid w:val="7C855A65"/>
    <w:rsid w:val="7C976802"/>
    <w:rsid w:val="7CA25995"/>
    <w:rsid w:val="7CA51C63"/>
    <w:rsid w:val="7CAF663E"/>
    <w:rsid w:val="7CB5279E"/>
    <w:rsid w:val="7CB974BC"/>
    <w:rsid w:val="7CD6006E"/>
    <w:rsid w:val="7CEC5AE4"/>
    <w:rsid w:val="7CEF2EDE"/>
    <w:rsid w:val="7D083FA0"/>
    <w:rsid w:val="7D142945"/>
    <w:rsid w:val="7D3D1E9B"/>
    <w:rsid w:val="7D545437"/>
    <w:rsid w:val="7D6A4C5A"/>
    <w:rsid w:val="7D8201F6"/>
    <w:rsid w:val="7D856BD5"/>
    <w:rsid w:val="7D9879F5"/>
    <w:rsid w:val="7DBA173E"/>
    <w:rsid w:val="7DBC0B9A"/>
    <w:rsid w:val="7DC80377"/>
    <w:rsid w:val="7DCB3A96"/>
    <w:rsid w:val="7DD345AE"/>
    <w:rsid w:val="7DDD542C"/>
    <w:rsid w:val="7E4234E1"/>
    <w:rsid w:val="7E590F57"/>
    <w:rsid w:val="7E631DD5"/>
    <w:rsid w:val="7E7933A7"/>
    <w:rsid w:val="7E843AFA"/>
    <w:rsid w:val="7E8458A8"/>
    <w:rsid w:val="7E8B30DA"/>
    <w:rsid w:val="7E8E6727"/>
    <w:rsid w:val="7E924469"/>
    <w:rsid w:val="7EA36676"/>
    <w:rsid w:val="7EAE4CFC"/>
    <w:rsid w:val="7EAE5C52"/>
    <w:rsid w:val="7EB53C58"/>
    <w:rsid w:val="7EBB6578"/>
    <w:rsid w:val="7ECD36F3"/>
    <w:rsid w:val="7ECD724F"/>
    <w:rsid w:val="7ED666D5"/>
    <w:rsid w:val="7EEA337E"/>
    <w:rsid w:val="7EFF79DD"/>
    <w:rsid w:val="7F046269"/>
    <w:rsid w:val="7F1103A8"/>
    <w:rsid w:val="7F2D5F40"/>
    <w:rsid w:val="7F361298"/>
    <w:rsid w:val="7F3D0D4A"/>
    <w:rsid w:val="7F4A782C"/>
    <w:rsid w:val="7F4C286A"/>
    <w:rsid w:val="7F5B7466"/>
    <w:rsid w:val="7F6779F6"/>
    <w:rsid w:val="7F6E0A32"/>
    <w:rsid w:val="7F710522"/>
    <w:rsid w:val="7F7678E7"/>
    <w:rsid w:val="7F7C6A7B"/>
    <w:rsid w:val="7F9A1827"/>
    <w:rsid w:val="7FBB22A5"/>
    <w:rsid w:val="7FC74720"/>
    <w:rsid w:val="7FD91C23"/>
    <w:rsid w:val="7FDB2211"/>
    <w:rsid w:val="7FDB3BED"/>
    <w:rsid w:val="7FF37189"/>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nhideWhenUsed="0" w:uiPriority="0" w:semiHidden="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正文文字"/>
    <w:basedOn w:val="3"/>
    <w:next w:val="1"/>
    <w:qFormat/>
    <w:uiPriority w:val="0"/>
    <w:pPr>
      <w:ind w:firstLine="200" w:firstLineChars="200"/>
    </w:pPr>
    <w:rPr>
      <w:rFonts w:ascii="仿宋_GB2312" w:eastAsia="仿宋_GB2312"/>
    </w:rPr>
  </w:style>
  <w:style w:type="paragraph" w:styleId="3">
    <w:name w:val="Body Text"/>
    <w:basedOn w:val="1"/>
    <w:qFormat/>
    <w:uiPriority w:val="0"/>
    <w:pPr>
      <w:spacing w:after="140" w:line="276" w:lineRule="auto"/>
    </w:pPr>
  </w:style>
  <w:style w:type="paragraph" w:styleId="4">
    <w:name w:val="Body Text Indent"/>
    <w:basedOn w:val="1"/>
    <w:next w:val="5"/>
    <w:qFormat/>
    <w:uiPriority w:val="99"/>
    <w:pPr>
      <w:ind w:left="420" w:leftChars="200"/>
    </w:pPr>
    <w:rPr>
      <w:rFonts w:ascii="Times New Roman" w:hAnsi="Times New Roman"/>
    </w:rPr>
  </w:style>
  <w:style w:type="paragraph" w:styleId="5">
    <w:name w:val="Body Text First Indent 2"/>
    <w:basedOn w:val="4"/>
    <w:next w:val="1"/>
    <w:qFormat/>
    <w:uiPriority w:val="99"/>
    <w:pPr>
      <w:ind w:left="0" w:leftChars="0" w:firstLine="640" w:firstLineChars="200"/>
    </w:pPr>
    <w:rPr>
      <w:rFonts w:eastAsia="仿宋_GB2312"/>
      <w:sz w:val="32"/>
    </w:rPr>
  </w:style>
  <w:style w:type="paragraph" w:styleId="6">
    <w:name w:val="Balloon Text"/>
    <w:basedOn w:val="1"/>
    <w:link w:val="16"/>
    <w:semiHidden/>
    <w:unhideWhenUsed/>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footnote text"/>
    <w:basedOn w:val="1"/>
    <w:link w:val="17"/>
    <w:qFormat/>
    <w:uiPriority w:val="0"/>
    <w:pPr>
      <w:snapToGrid w:val="0"/>
      <w:jc w:val="left"/>
    </w:pPr>
  </w:style>
  <w:style w:type="paragraph" w:styleId="10">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13">
    <w:name w:val="Strong"/>
    <w:basedOn w:val="12"/>
    <w:qFormat/>
    <w:uiPriority w:val="0"/>
    <w:rPr>
      <w:b/>
    </w:rPr>
  </w:style>
  <w:style w:type="character" w:styleId="14">
    <w:name w:val="page number"/>
    <w:basedOn w:val="12"/>
    <w:qFormat/>
    <w:uiPriority w:val="0"/>
  </w:style>
  <w:style w:type="character" w:styleId="15">
    <w:name w:val="Emphasis"/>
    <w:basedOn w:val="12"/>
    <w:qFormat/>
    <w:uiPriority w:val="0"/>
    <w:rPr>
      <w:i/>
    </w:rPr>
  </w:style>
  <w:style w:type="character" w:customStyle="1" w:styleId="16">
    <w:name w:val="批注框文本 字符"/>
    <w:basedOn w:val="12"/>
    <w:link w:val="6"/>
    <w:semiHidden/>
    <w:qFormat/>
    <w:uiPriority w:val="0"/>
    <w:rPr>
      <w:rFonts w:ascii="Times New Roman" w:hAnsi="Times New Roman" w:eastAsia="宋体"/>
      <w:kern w:val="2"/>
      <w:sz w:val="18"/>
      <w:szCs w:val="18"/>
    </w:rPr>
  </w:style>
  <w:style w:type="character" w:customStyle="1" w:styleId="17">
    <w:name w:val="脚注文本 字符"/>
    <w:basedOn w:val="12"/>
    <w:link w:val="9"/>
    <w:qFormat/>
    <w:uiPriority w:val="0"/>
    <w:rPr>
      <w:kern w:val="2"/>
      <w:sz w:val="21"/>
      <w:szCs w:val="24"/>
    </w:rPr>
  </w:style>
  <w:style w:type="character" w:customStyle="1" w:styleId="18">
    <w:name w:val="页脚 字符"/>
    <w:basedOn w:val="12"/>
    <w:link w:val="7"/>
    <w:qFormat/>
    <w:uiPriority w:val="99"/>
    <w:rPr>
      <w:kern w:val="2"/>
      <w:sz w:val="18"/>
      <w:szCs w:val="18"/>
    </w:rPr>
  </w:style>
  <w:style w:type="paragraph" w:styleId="19">
    <w:name w:val="List Paragraph"/>
    <w:basedOn w:val="1"/>
    <w:unhideWhenUsed/>
    <w:qFormat/>
    <w:uiPriority w:val="99"/>
    <w:pPr>
      <w:ind w:firstLine="420" w:firstLineChars="200"/>
    </w:pPr>
  </w:style>
  <w:style w:type="character" w:customStyle="1" w:styleId="20">
    <w:name w:val="NormalCharacter"/>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30</Pages>
  <Words>14098</Words>
  <Characters>17133</Characters>
  <Lines>119</Lines>
  <Paragraphs>33</Paragraphs>
  <TotalTime>9</TotalTime>
  <ScaleCrop>false</ScaleCrop>
  <LinksUpToDate>false</LinksUpToDate>
  <CharactersWithSpaces>17730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2021-02-08T01:45:00Z</dcterms:created>
  <dc:creator>Administrator</dc:creator>
  <cp:lastModifiedBy>放纵。</cp:lastModifiedBy>
  <cp:lastPrinted>2022-02-09T05:30:00Z</cp:lastPrinted>
  <dcterms:modified xsi:type="dcterms:W3CDTF">2023-03-13T07:16:26Z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0C475848ED874ABB81E741DEE2DC40C3</vt:lpwstr>
  </property>
</Properties>
</file>