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关于秭归县2020年预算执行情况</w:t>
      </w:r>
    </w:p>
    <w:p>
      <w:pPr>
        <w:snapToGrid w:val="0"/>
        <w:spacing w:line="56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和2021年预算草案的报告</w:t>
      </w:r>
    </w:p>
    <w:p>
      <w:pPr>
        <w:snapToGrid w:val="0"/>
        <w:spacing w:line="560" w:lineRule="exact"/>
        <w:jc w:val="center"/>
        <w:rPr>
          <w:rFonts w:ascii="楷体" w:hAnsi="楷体" w:eastAsia="楷体"/>
          <w:sz w:val="32"/>
          <w:szCs w:val="32"/>
        </w:rPr>
      </w:pPr>
      <w:bookmarkStart w:id="0" w:name="_GoBack"/>
      <w:bookmarkEnd w:id="0"/>
      <w:r>
        <w:rPr>
          <w:rFonts w:hint="eastAsia" w:ascii="楷体" w:hAnsi="楷体" w:eastAsia="楷体"/>
          <w:sz w:val="32"/>
          <w:szCs w:val="32"/>
        </w:rPr>
        <w:t>秭归县财政局</w:t>
      </w:r>
    </w:p>
    <w:p>
      <w:pPr>
        <w:widowControl/>
        <w:shd w:val="clear" w:color="auto" w:fill="FFFFFF"/>
        <w:spacing w:line="560" w:lineRule="exact"/>
        <w:jc w:val="left"/>
        <w:rPr>
          <w:rFonts w:ascii="仿宋_GB2312" w:hAnsi="宋体" w:eastAsia="仿宋_GB2312" w:cs="宋体"/>
          <w:kern w:val="0"/>
          <w:sz w:val="32"/>
          <w:szCs w:val="32"/>
        </w:rPr>
      </w:pPr>
    </w:p>
    <w:p>
      <w:pPr>
        <w:spacing w:line="600" w:lineRule="exact"/>
        <w:rPr>
          <w:rFonts w:ascii="仿宋_GB2312" w:hAnsi="仿宋" w:eastAsia="仿宋_GB2312" w:cs="仿宋"/>
          <w:sz w:val="32"/>
          <w:szCs w:val="32"/>
        </w:rPr>
      </w:pPr>
      <w:r>
        <w:rPr>
          <w:rFonts w:hint="eastAsia" w:ascii="仿宋_GB2312" w:hAnsi="仿宋" w:eastAsia="仿宋_GB2312" w:cs="仿宋"/>
          <w:sz w:val="32"/>
          <w:szCs w:val="32"/>
        </w:rPr>
        <w:t>各位代表：</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受县人民政府委托，现向大会报告2020年预算执行情况和2021年预算草案，请予审议，并请县政协委员和其他列席人员提出意见。</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一、2020年预算执行情况</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2020年，面对突如其来的新冠肺炎疫情，</w:t>
      </w:r>
      <w:r>
        <w:rPr>
          <w:rFonts w:hint="eastAsia" w:ascii="仿宋_GB2312" w:hAnsi="仿宋" w:eastAsia="仿宋_GB2312" w:cs="仿宋"/>
          <w:spacing w:val="6"/>
          <w:kern w:val="0"/>
          <w:sz w:val="32"/>
          <w:szCs w:val="32"/>
        </w:rPr>
        <w:t>在县委、县政府的坚强领导下，在县人大和县政协的监督支持下，财政工作坚持</w:t>
      </w:r>
      <w:r>
        <w:rPr>
          <w:rFonts w:hint="eastAsia" w:ascii="仿宋_GB2312" w:hAnsi="仿宋" w:eastAsia="仿宋_GB2312" w:cs="仿宋"/>
          <w:sz w:val="32"/>
          <w:szCs w:val="32"/>
        </w:rPr>
        <w:t>以习近平新时代中国特色社会主义思想为指导，坚持稳中求进工作总基调，突出保障、争取、统筹三项重点，</w:t>
      </w:r>
      <w:r>
        <w:rPr>
          <w:rFonts w:hint="eastAsia" w:ascii="仿宋_GB2312" w:eastAsia="仿宋_GB2312"/>
          <w:sz w:val="32"/>
          <w:szCs w:val="32"/>
        </w:rPr>
        <w:t>做好“六稳”工作，落实“六保”任务</w:t>
      </w:r>
      <w:r>
        <w:rPr>
          <w:rFonts w:hint="eastAsia" w:ascii="仿宋_GB2312" w:hAnsi="仿宋" w:eastAsia="仿宋_GB2312" w:cs="仿宋"/>
          <w:sz w:val="32"/>
          <w:szCs w:val="32"/>
        </w:rPr>
        <w:t>，努力为夺取疫情防控和经济社会高质量发展双胜利提供坚实财力支撑，预算执行总体良好。</w:t>
      </w:r>
      <w:r>
        <w:rPr>
          <w:rFonts w:ascii="仿宋_GB2312" w:hAnsi="仿宋" w:eastAsia="仿宋_GB2312" w:cs="仿宋"/>
          <w:sz w:val="32"/>
          <w:szCs w:val="32"/>
        </w:rPr>
        <w:tab/>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（一）一般公共预算执行情况</w:t>
      </w:r>
    </w:p>
    <w:p>
      <w:pPr>
        <w:adjustRightIn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地方一般公共预算收入完成3.95亿元，完成调整预算数的98.84%，同比减少50.58%。其中税收收入完成2.97亿元，非税收入完成9837万元,税收占比75.12%</w:t>
      </w:r>
      <w:r>
        <w:rPr>
          <w:rFonts w:ascii="仿宋_GB2312" w:hAnsi="仿宋" w:eastAsia="仿宋_GB2312" w:cs="仿宋"/>
          <w:sz w:val="32"/>
          <w:szCs w:val="32"/>
        </w:rPr>
        <w:t>,</w:t>
      </w:r>
      <w:r>
        <w:rPr>
          <w:rFonts w:hint="eastAsia" w:ascii="仿宋_GB2312" w:hAnsi="仿宋" w:eastAsia="仿宋_GB2312" w:cs="仿宋"/>
          <w:sz w:val="32"/>
          <w:szCs w:val="32"/>
        </w:rPr>
        <w:t>同比</w:t>
      </w:r>
      <w:r>
        <w:rPr>
          <w:rFonts w:ascii="仿宋_GB2312" w:hAnsi="仿宋" w:eastAsia="仿宋_GB2312" w:cs="仿宋"/>
          <w:sz w:val="32"/>
          <w:szCs w:val="32"/>
        </w:rPr>
        <w:t>提高</w:t>
      </w:r>
      <w:r>
        <w:rPr>
          <w:rFonts w:hint="eastAsia" w:ascii="仿宋_GB2312" w:hAnsi="仿宋" w:eastAsia="仿宋_GB2312" w:cs="仿宋"/>
          <w:sz w:val="32"/>
          <w:szCs w:val="32"/>
        </w:rPr>
        <w:t>14个</w:t>
      </w:r>
      <w:r>
        <w:rPr>
          <w:rFonts w:ascii="仿宋_GB2312" w:hAnsi="仿宋" w:eastAsia="仿宋_GB2312" w:cs="仿宋"/>
          <w:sz w:val="32"/>
          <w:szCs w:val="32"/>
        </w:rPr>
        <w:t>百分点</w:t>
      </w:r>
      <w:r>
        <w:rPr>
          <w:rFonts w:hint="eastAsia" w:ascii="仿宋_GB2312" w:hAnsi="仿宋" w:eastAsia="仿宋_GB2312" w:cs="仿宋"/>
          <w:sz w:val="32"/>
          <w:szCs w:val="32"/>
        </w:rPr>
        <w:t>。</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 xml:space="preserve">地方一般公共预算支出42.21亿元，完成调整预算数的103.05%，同比增加15.74%。主要项目情况为：一般公共服务支出4.8亿元，完成调整预算数的124.3%，主要是机构改革后科目变动；公共安全支出1.13亿元，完成调整预算数的100.24%；教育支出5.65亿元，完成调整预算数的101.32%；科学技术支出4006万元，完成调整预算数的102.77%；文化体育与传媒支出9531万元，完成调整预算数的103.94%；社会保障和就业支出5.48亿元，完成调整预算数的104.53%；卫生健康支出4.21亿元，完成调整预算数的104.72%；节能环保支出1.09亿元，完成调整预算数的100.53%；城乡社区支出7490万元，完成调整预算数的105.37%；农林水支出7.33亿元，完成调整预算数的93.85%，主要是乡镇公共服务中心支出科目调整；交通运输支出5.47亿元，完成调整预算数的101.43%；资源勘探信息支出5706万元，完成调整预算数的105.06%；商业服务业支出4028万，完成调整预算数的90.15%，主要是支出功能科目调整；自然资源海洋气象等支出9477万元，完成调整预算数的101.12%；住房保障支出1.58亿元，完成调整预算数的100%；粮油储备支出1438万元，完成调整预算数的120.54%，主要为专项转移支付增加；灾害防治及应急管理支出6280万元，完成调整预算数的123.4%，主要为专项转移支付增加；债务付息及手续费支出6871万元，完成调整预算数的97.43%。 </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平衡情况。</w:t>
      </w:r>
      <w:r>
        <w:rPr>
          <w:rFonts w:hint="eastAsia" w:ascii="仿宋_GB2312" w:hAnsi="仿宋" w:eastAsia="仿宋_GB2312" w:cs="仿宋"/>
          <w:spacing w:val="-4"/>
          <w:sz w:val="32"/>
          <w:szCs w:val="32"/>
        </w:rPr>
        <w:t>一般公共预算收入总量49.29亿元，其中：地方一般公共预算收入3.95亿元；上级补助收入34.13亿元，其中返还性收入1.55亿元、一般性转移支付收入29.01亿元、专项转移支付收入3.57亿元；省政府债券转贷收入5.94亿元；动用预算稳定调节基金2.67亿元；上年结转1.9亿元；调入资金6996万元。</w:t>
      </w:r>
      <w:r>
        <w:rPr>
          <w:rFonts w:hint="eastAsia" w:ascii="仿宋_GB2312" w:hAnsi="仿宋" w:eastAsia="仿宋_GB2312" w:cs="仿宋"/>
          <w:sz w:val="32"/>
          <w:szCs w:val="32"/>
        </w:rPr>
        <w:t>一般</w:t>
      </w:r>
      <w:r>
        <w:rPr>
          <w:rFonts w:hint="eastAsia" w:ascii="仿宋_GB2312" w:hAnsi="仿宋" w:eastAsia="仿宋_GB2312" w:cs="仿宋"/>
          <w:spacing w:val="-4"/>
          <w:sz w:val="32"/>
          <w:szCs w:val="32"/>
        </w:rPr>
        <w:t>公共预算支出总量47.56亿元，其中：地方一般公共预算支出42.21亿元，债务还本支出4.1亿元，上解支出1.1亿元，增补预算稳定调节基金1496万元。</w:t>
      </w:r>
      <w:r>
        <w:rPr>
          <w:rFonts w:hint="eastAsia" w:ascii="仿宋_GB2312" w:hAnsi="仿宋" w:eastAsia="仿宋_GB2312" w:cs="仿宋"/>
          <w:sz w:val="32"/>
          <w:szCs w:val="32"/>
        </w:rPr>
        <w:t>收支相抵，结转下年支出1.73亿元，主要是2020年12月到达未拨出的省专款。</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（二）政府性基金预算执行情况</w:t>
      </w:r>
    </w:p>
    <w:p>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本级政府性基金收入完成4.47亿元,</w:t>
      </w:r>
      <w:r>
        <w:rPr>
          <w:rFonts w:hint="eastAsia" w:ascii="仿宋_GB2312" w:hAnsi="仿宋" w:eastAsia="仿宋_GB2312" w:cs="仿宋"/>
          <w:sz w:val="32"/>
          <w:szCs w:val="32"/>
        </w:rPr>
        <w:t>完成调整预算数的100.24%。</w:t>
      </w:r>
      <w:r>
        <w:rPr>
          <w:rFonts w:hint="eastAsia" w:ascii="仿宋_GB2312" w:hAnsi="仿宋" w:eastAsia="仿宋_GB2312" w:cs="仿宋"/>
          <w:kern w:val="0"/>
          <w:sz w:val="32"/>
          <w:szCs w:val="32"/>
        </w:rPr>
        <w:t>分项目完成情况为：土地出让金收入完成3.16亿元，城市基础设施配套费收入完成946万元，污水处理费收入完成615万元，车辆通行费收入</w:t>
      </w:r>
      <w:r>
        <w:rPr>
          <w:rFonts w:ascii="仿宋_GB2312" w:hAnsi="仿宋" w:eastAsia="仿宋_GB2312" w:cs="仿宋"/>
          <w:kern w:val="0"/>
          <w:sz w:val="32"/>
          <w:szCs w:val="32"/>
        </w:rPr>
        <w:t>完成</w:t>
      </w:r>
      <w:r>
        <w:rPr>
          <w:rFonts w:hint="eastAsia" w:ascii="仿宋_GB2312" w:hAnsi="仿宋" w:eastAsia="仿宋_GB2312" w:cs="仿宋"/>
          <w:kern w:val="0"/>
          <w:sz w:val="32"/>
          <w:szCs w:val="32"/>
        </w:rPr>
        <w:t>724万元，专项债券对应项目专项收入完成1.08亿元。</w:t>
      </w:r>
    </w:p>
    <w:p>
      <w:pPr>
        <w:widowControl/>
        <w:spacing w:line="600" w:lineRule="exact"/>
        <w:ind w:firstLine="640" w:firstLineChars="200"/>
        <w:textAlignment w:val="bottom"/>
        <w:rPr>
          <w:rFonts w:ascii="仿宋_GB2312" w:hAnsi="仿宋" w:eastAsia="仿宋_GB2312" w:cs="仿宋"/>
          <w:kern w:val="0"/>
          <w:sz w:val="32"/>
          <w:szCs w:val="32"/>
        </w:rPr>
      </w:pPr>
      <w:r>
        <w:rPr>
          <w:rFonts w:hint="eastAsia" w:ascii="仿宋_GB2312" w:hAnsi="仿宋" w:eastAsia="仿宋_GB2312" w:cs="仿宋"/>
          <w:kern w:val="0"/>
          <w:sz w:val="32"/>
          <w:szCs w:val="32"/>
        </w:rPr>
        <w:t>政府性基金支出13.85亿元，</w:t>
      </w:r>
      <w:r>
        <w:rPr>
          <w:rFonts w:hint="eastAsia" w:ascii="仿宋_GB2312" w:hAnsi="仿宋" w:eastAsia="仿宋_GB2312" w:cs="仿宋"/>
          <w:sz w:val="32"/>
          <w:szCs w:val="32"/>
        </w:rPr>
        <w:t>完成调整预算数的104.85%。</w:t>
      </w:r>
      <w:r>
        <w:rPr>
          <w:rFonts w:hint="eastAsia" w:ascii="仿宋_GB2312" w:hAnsi="仿宋" w:eastAsia="仿宋_GB2312" w:cs="仿宋"/>
          <w:kern w:val="0"/>
          <w:sz w:val="32"/>
          <w:szCs w:val="32"/>
        </w:rPr>
        <w:t>其中：社会保障和就业支出5974万元，</w:t>
      </w:r>
      <w:r>
        <w:rPr>
          <w:rFonts w:hint="eastAsia" w:ascii="仿宋_GB2312" w:hAnsi="仿宋" w:eastAsia="仿宋_GB2312" w:cs="仿宋"/>
          <w:sz w:val="32"/>
          <w:szCs w:val="32"/>
        </w:rPr>
        <w:t>完成调整预算数的105.62%；</w:t>
      </w:r>
      <w:r>
        <w:rPr>
          <w:rFonts w:hint="eastAsia" w:ascii="仿宋_GB2312" w:hAnsi="仿宋" w:eastAsia="仿宋_GB2312" w:cs="仿宋"/>
          <w:kern w:val="0"/>
          <w:sz w:val="32"/>
          <w:szCs w:val="32"/>
        </w:rPr>
        <w:t>城乡社区支出1.93亿元，</w:t>
      </w:r>
      <w:r>
        <w:rPr>
          <w:rFonts w:hint="eastAsia" w:ascii="仿宋_GB2312" w:hAnsi="仿宋" w:eastAsia="仿宋_GB2312" w:cs="仿宋"/>
          <w:sz w:val="32"/>
          <w:szCs w:val="32"/>
        </w:rPr>
        <w:t>完成调整预算数的139.3%，主要是翻坝铁路和金缸城北区土地征收补偿、基础设施建设资金增加</w:t>
      </w:r>
      <w:r>
        <w:rPr>
          <w:rFonts w:hint="eastAsia" w:ascii="仿宋_GB2312" w:hAnsi="仿宋" w:eastAsia="仿宋_GB2312" w:cs="仿宋"/>
          <w:kern w:val="0"/>
          <w:sz w:val="32"/>
          <w:szCs w:val="32"/>
        </w:rPr>
        <w:t>；农林水支出5.67亿元，</w:t>
      </w:r>
      <w:r>
        <w:rPr>
          <w:rFonts w:hint="eastAsia" w:ascii="仿宋_GB2312" w:hAnsi="仿宋" w:eastAsia="仿宋_GB2312" w:cs="仿宋"/>
          <w:sz w:val="32"/>
          <w:szCs w:val="32"/>
        </w:rPr>
        <w:t>完成调整预算数的100%；交通运输支出615万元，完成调整预算数的100%；</w:t>
      </w:r>
      <w:r>
        <w:rPr>
          <w:rFonts w:hint="eastAsia" w:ascii="仿宋_GB2312" w:hAnsi="仿宋" w:eastAsia="仿宋_GB2312" w:cs="仿宋"/>
          <w:kern w:val="0"/>
          <w:sz w:val="32"/>
          <w:szCs w:val="32"/>
        </w:rPr>
        <w:t>其它支出3.6亿元，</w:t>
      </w:r>
      <w:r>
        <w:rPr>
          <w:rFonts w:hint="eastAsia" w:ascii="仿宋_GB2312" w:hAnsi="仿宋" w:eastAsia="仿宋_GB2312" w:cs="仿宋"/>
          <w:sz w:val="32"/>
          <w:szCs w:val="32"/>
        </w:rPr>
        <w:t>完成调整预算数的101.86%</w:t>
      </w:r>
      <w:r>
        <w:rPr>
          <w:rFonts w:hint="eastAsia" w:ascii="仿宋_GB2312" w:hAnsi="仿宋" w:eastAsia="仿宋_GB2312" w:cs="仿宋"/>
          <w:kern w:val="0"/>
          <w:sz w:val="32"/>
          <w:szCs w:val="32"/>
        </w:rPr>
        <w:t>，主要是专项债券转贷资金</w:t>
      </w:r>
      <w:r>
        <w:rPr>
          <w:rFonts w:hint="eastAsia" w:ascii="仿宋_GB2312" w:hAnsi="仿宋" w:eastAsia="仿宋_GB2312" w:cs="仿宋"/>
          <w:sz w:val="32"/>
          <w:szCs w:val="32"/>
        </w:rPr>
        <w:t>；</w:t>
      </w:r>
      <w:r>
        <w:rPr>
          <w:rFonts w:hint="eastAsia" w:ascii="仿宋_GB2312" w:hAnsi="仿宋" w:eastAsia="仿宋_GB2312" w:cs="仿宋"/>
          <w:kern w:val="0"/>
          <w:sz w:val="32"/>
          <w:szCs w:val="32"/>
        </w:rPr>
        <w:t>债务付息及发行费支出6003万元，</w:t>
      </w:r>
      <w:r>
        <w:rPr>
          <w:rFonts w:hint="eastAsia" w:ascii="仿宋_GB2312" w:hAnsi="仿宋" w:eastAsia="仿宋_GB2312" w:cs="仿宋"/>
          <w:sz w:val="32"/>
          <w:szCs w:val="32"/>
        </w:rPr>
        <w:t>完成调整预算数的100%；抗疫特别国债支出1.39亿元，完成调整预算数的100%</w:t>
      </w:r>
      <w:r>
        <w:rPr>
          <w:rFonts w:hint="eastAsia" w:ascii="仿宋_GB2312" w:hAnsi="仿宋" w:eastAsia="仿宋_GB2312" w:cs="仿宋"/>
          <w:kern w:val="0"/>
          <w:sz w:val="32"/>
          <w:szCs w:val="32"/>
        </w:rPr>
        <w:t>。</w:t>
      </w:r>
    </w:p>
    <w:p>
      <w:pPr>
        <w:widowControl/>
        <w:spacing w:line="600" w:lineRule="exact"/>
        <w:ind w:firstLine="640" w:firstLineChars="200"/>
        <w:textAlignment w:val="bottom"/>
        <w:rPr>
          <w:rFonts w:ascii="仿宋_GB2312" w:hAnsi="仿宋" w:eastAsia="仿宋_GB2312" w:cs="仿宋"/>
          <w:sz w:val="32"/>
          <w:szCs w:val="32"/>
        </w:rPr>
      </w:pPr>
      <w:r>
        <w:rPr>
          <w:rFonts w:hint="eastAsia" w:ascii="仿宋_GB2312" w:hAnsi="仿宋" w:eastAsia="仿宋_GB2312" w:cs="仿宋"/>
          <w:kern w:val="0"/>
          <w:sz w:val="32"/>
          <w:szCs w:val="32"/>
        </w:rPr>
        <w:t>平衡情况。全县政府性基金收入总量17.28亿元，其中：本级基金收入4.47亿元，专项转移支付收入7.9亿元，上年结转1.04亿元，</w:t>
      </w:r>
      <w:r>
        <w:rPr>
          <w:rFonts w:hint="eastAsia" w:ascii="仿宋_GB2312" w:hAnsi="仿宋" w:eastAsia="仿宋_GB2312" w:cs="仿宋"/>
          <w:sz w:val="32"/>
          <w:szCs w:val="32"/>
        </w:rPr>
        <w:t>专项债券转贷收入3.87亿元</w:t>
      </w:r>
      <w:r>
        <w:rPr>
          <w:rFonts w:hint="eastAsia" w:ascii="仿宋_GB2312" w:hAnsi="仿宋" w:eastAsia="仿宋_GB2312" w:cs="仿宋"/>
          <w:kern w:val="0"/>
          <w:sz w:val="32"/>
          <w:szCs w:val="32"/>
        </w:rPr>
        <w:t>。支出总量</w:t>
      </w:r>
      <w:r>
        <w:rPr>
          <w:rFonts w:ascii="仿宋_GB2312" w:hAnsi="仿宋" w:eastAsia="仿宋_GB2312" w:cs="仿宋"/>
          <w:kern w:val="0"/>
          <w:sz w:val="32"/>
          <w:szCs w:val="32"/>
        </w:rPr>
        <w:t>14.76</w:t>
      </w:r>
      <w:r>
        <w:rPr>
          <w:rFonts w:hint="eastAsia" w:ascii="仿宋_GB2312" w:hAnsi="仿宋" w:eastAsia="仿宋_GB2312" w:cs="仿宋"/>
          <w:kern w:val="0"/>
          <w:sz w:val="32"/>
          <w:szCs w:val="32"/>
        </w:rPr>
        <w:t>亿元。收支相抵，结转结余</w:t>
      </w:r>
      <w:r>
        <w:rPr>
          <w:rFonts w:ascii="仿宋_GB2312" w:hAnsi="仿宋" w:eastAsia="仿宋_GB2312" w:cs="仿宋"/>
          <w:kern w:val="0"/>
          <w:sz w:val="32"/>
          <w:szCs w:val="32"/>
        </w:rPr>
        <w:t>2.52</w:t>
      </w:r>
      <w:r>
        <w:rPr>
          <w:rFonts w:hint="eastAsia" w:ascii="仿宋_GB2312" w:hAnsi="仿宋" w:eastAsia="仿宋_GB2312" w:cs="仿宋"/>
          <w:kern w:val="0"/>
          <w:sz w:val="32"/>
          <w:szCs w:val="32"/>
        </w:rPr>
        <w:t>亿元，转入下年继续使用。</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（三）社会保险基金预算执行情况</w:t>
      </w:r>
    </w:p>
    <w:p>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sz w:val="32"/>
          <w:szCs w:val="32"/>
        </w:rPr>
        <w:t>社会保险基金总收入23.3亿元。其中：</w:t>
      </w:r>
      <w:r>
        <w:rPr>
          <w:rFonts w:hint="eastAsia" w:ascii="仿宋_GB2312" w:hAnsi="仿宋" w:eastAsia="仿宋_GB2312" w:cs="仿宋"/>
          <w:kern w:val="0"/>
          <w:sz w:val="32"/>
          <w:szCs w:val="32"/>
        </w:rPr>
        <w:t>上年结余11.93亿元，</w:t>
      </w:r>
      <w:r>
        <w:rPr>
          <w:rFonts w:hint="eastAsia" w:ascii="仿宋_GB2312" w:hAnsi="仿宋" w:eastAsia="仿宋_GB2312" w:cs="仿宋"/>
          <w:sz w:val="32"/>
          <w:szCs w:val="32"/>
        </w:rPr>
        <w:t>当年收入11.37亿元，完成调整预算数的100%；支出</w:t>
      </w:r>
      <w:r>
        <w:rPr>
          <w:rFonts w:hint="eastAsia" w:ascii="仿宋_GB2312" w:hAnsi="仿宋" w:eastAsia="仿宋_GB2312" w:cs="仿宋"/>
          <w:kern w:val="0"/>
          <w:sz w:val="32"/>
          <w:szCs w:val="32"/>
        </w:rPr>
        <w:t>12.37亿元，</w:t>
      </w:r>
      <w:r>
        <w:rPr>
          <w:rFonts w:hint="eastAsia" w:ascii="仿宋_GB2312" w:hAnsi="仿宋" w:eastAsia="仿宋_GB2312" w:cs="仿宋"/>
          <w:sz w:val="32"/>
          <w:szCs w:val="32"/>
        </w:rPr>
        <w:t>完成调整预算数的100%</w:t>
      </w:r>
      <w:r>
        <w:rPr>
          <w:rFonts w:hint="eastAsia" w:ascii="仿宋_GB2312" w:hAnsi="仿宋" w:eastAsia="仿宋_GB2312" w:cs="仿宋"/>
          <w:kern w:val="0"/>
          <w:sz w:val="32"/>
          <w:szCs w:val="32"/>
        </w:rPr>
        <w:t>；收支相抵，滚存结余10.93亿元。</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kern w:val="0"/>
          <w:sz w:val="32"/>
          <w:szCs w:val="32"/>
        </w:rPr>
        <w:t>主要项目收支情况：</w:t>
      </w:r>
      <w:r>
        <w:rPr>
          <w:rFonts w:hint="eastAsia" w:ascii="仿宋_GB2312" w:hAnsi="仿宋" w:eastAsia="仿宋_GB2312" w:cs="仿宋"/>
          <w:sz w:val="32"/>
          <w:szCs w:val="32"/>
        </w:rPr>
        <w:t>企业职工养老保险基金收入5.03亿元，支出5.56亿元；城乡居民养老保险基金收入1.35亿元，支出9400万元；城镇职工医疗保险基金收入1.23亿元，支出9208万元；城乡居民医疗保险基金收入2.05亿元，支出1.78亿元；工伤保险基金收入336万元，支出723万元；失业保险基金收入676万元，支出1846万元；机关事业单位养老保险基金收入1.6亿元，支出2.92亿元。</w:t>
      </w:r>
    </w:p>
    <w:p>
      <w:pPr>
        <w:numPr>
          <w:ilvl w:val="0"/>
          <w:numId w:val="1"/>
        </w:numPr>
        <w:adjustRightInd w:val="0"/>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国有资本经营预算执行情况</w:t>
      </w:r>
    </w:p>
    <w:p>
      <w:pPr>
        <w:adjustRightIn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国有资本经营预算收入418万元，完成预算数的</w:t>
      </w:r>
      <w:r>
        <w:rPr>
          <w:rFonts w:ascii="仿宋_GB2312" w:hAnsi="仿宋" w:eastAsia="仿宋_GB2312" w:cs="仿宋"/>
          <w:sz w:val="32"/>
          <w:szCs w:val="32"/>
        </w:rPr>
        <w:t>110.88</w:t>
      </w:r>
      <w:r>
        <w:rPr>
          <w:rFonts w:hint="eastAsia" w:ascii="仿宋_GB2312" w:hAnsi="仿宋" w:eastAsia="仿宋_GB2312" w:cs="仿宋"/>
          <w:sz w:val="32"/>
          <w:szCs w:val="32"/>
        </w:rPr>
        <w:t>%。其中上缴利润收入182万元，股利、股息收入231万元，上级补助收入5万元。</w:t>
      </w:r>
    </w:p>
    <w:p>
      <w:pPr>
        <w:adjustRightIn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支出219万元，完成预算数的120.3%。其中国有企业资本注入218万元，国有企业政策性补助支出1万元。调入一般公共预算195万元。收支相抵，</w:t>
      </w:r>
      <w:r>
        <w:rPr>
          <w:rFonts w:hint="eastAsia" w:ascii="仿宋_GB2312" w:hAnsi="仿宋" w:eastAsia="仿宋_GB2312" w:cs="仿宋"/>
          <w:kern w:val="0"/>
          <w:sz w:val="32"/>
          <w:szCs w:val="32"/>
        </w:rPr>
        <w:t>结转下年</w:t>
      </w:r>
      <w:r>
        <w:rPr>
          <w:rFonts w:ascii="仿宋_GB2312" w:hAnsi="仿宋" w:eastAsia="仿宋_GB2312" w:cs="仿宋"/>
          <w:kern w:val="0"/>
          <w:sz w:val="32"/>
          <w:szCs w:val="32"/>
        </w:rPr>
        <w:t>支出</w:t>
      </w:r>
      <w:r>
        <w:rPr>
          <w:rFonts w:hint="eastAsia" w:ascii="仿宋_GB2312" w:hAnsi="仿宋" w:eastAsia="仿宋_GB2312" w:cs="仿宋"/>
          <w:kern w:val="0"/>
          <w:sz w:val="32"/>
          <w:szCs w:val="32"/>
        </w:rPr>
        <w:t>4万元</w:t>
      </w:r>
      <w:r>
        <w:rPr>
          <w:rFonts w:hint="eastAsia" w:ascii="仿宋_GB2312" w:hAnsi="仿宋" w:eastAsia="仿宋_GB2312" w:cs="仿宋"/>
          <w:sz w:val="32"/>
          <w:szCs w:val="32"/>
        </w:rPr>
        <w:t>。</w:t>
      </w:r>
    </w:p>
    <w:p>
      <w:pPr>
        <w:adjustRightInd w:val="0"/>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（五）地方政府性债务情况</w:t>
      </w:r>
    </w:p>
    <w:p>
      <w:pPr>
        <w:widowControl/>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全县政府债务余额为38.09亿元，其中一般债务18.85亿元，专项债务19.24亿元，2020年当年新增政府债务5.19亿元（一般债券1.84亿元，专项债券3.35亿元）。根据预算法对债务实行限额管理的规定，省财政厅核定我县2020年末债务限额为40.31亿元，债务余额没有超出债务限额，政府债务风险平稳可控。</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（六）2020年财政主要工作情况</w:t>
      </w:r>
    </w:p>
    <w:p>
      <w:pPr>
        <w:spacing w:line="600" w:lineRule="exact"/>
        <w:ind w:firstLine="640" w:firstLineChars="200"/>
        <w:rPr>
          <w:rFonts w:ascii="仿宋_GB2312" w:eastAsia="仿宋_GB2312"/>
          <w:sz w:val="32"/>
          <w:szCs w:val="32"/>
        </w:rPr>
      </w:pPr>
      <w:r>
        <w:rPr>
          <w:rFonts w:hint="eastAsia" w:ascii="仿宋_GB2312" w:hAnsi="楷体" w:eastAsia="仿宋_GB2312" w:cs="楷体"/>
          <w:color w:val="000000"/>
          <w:sz w:val="32"/>
          <w:szCs w:val="32"/>
        </w:rPr>
        <w:t>1、聚焦疫情防控，做好服务保障。</w:t>
      </w:r>
      <w:r>
        <w:rPr>
          <w:rFonts w:hint="eastAsia" w:ascii="仿宋_GB2312" w:eastAsia="仿宋_GB2312"/>
          <w:sz w:val="32"/>
          <w:szCs w:val="32"/>
        </w:rPr>
        <w:t>一是强化资金保障。坚持急事急办、特事特办，实行先拨付后清算，累计筹集和拨付疫情防控和救治资金</w:t>
      </w:r>
      <w:r>
        <w:rPr>
          <w:rFonts w:ascii="仿宋_GB2312" w:eastAsia="仿宋_GB2312"/>
          <w:sz w:val="32"/>
          <w:szCs w:val="32"/>
        </w:rPr>
        <w:t>846</w:t>
      </w:r>
      <w:r>
        <w:rPr>
          <w:rFonts w:hint="eastAsia" w:ascii="仿宋_GB2312" w:eastAsia="仿宋_GB2312"/>
          <w:sz w:val="32"/>
          <w:szCs w:val="32"/>
        </w:rPr>
        <w:t>9万元，足额保障了疫情防控的资金需求。二是规范资金使用。出台《加强秭归县新冠肺炎防治后勤财务管理的通知》、《秭归县新型冠状病毒感染肺炎疫情防控财政专项资金管理办法》等文件，切实规范防控资金和物资管理。三是及时落实政策。累计发放特殊困难群众临时价格补贴及基本生活资金3007万元，慰问困难群众9049人719万元，落实医护人员各项补助 807万元，发放就业、失业补助金 1007万元，减免国有企业房租 1022万元，全面落实了各项</w:t>
      </w:r>
      <w:r>
        <w:rPr>
          <w:rFonts w:hint="eastAsia" w:ascii="仿宋_GB2312" w:hAnsi="仿宋" w:eastAsia="仿宋_GB2312" w:cs="仿宋"/>
          <w:color w:val="000000"/>
          <w:sz w:val="32"/>
          <w:szCs w:val="32"/>
        </w:rPr>
        <w:t>惠企稳岗、安民纾困</w:t>
      </w:r>
      <w:r>
        <w:rPr>
          <w:rFonts w:hint="eastAsia" w:ascii="仿宋_GB2312" w:eastAsia="仿宋_GB2312"/>
          <w:sz w:val="32"/>
          <w:szCs w:val="32"/>
        </w:rPr>
        <w:t>政策。</w:t>
      </w:r>
    </w:p>
    <w:p>
      <w:pPr>
        <w:spacing w:line="600" w:lineRule="exact"/>
        <w:ind w:firstLine="640" w:firstLineChars="200"/>
        <w:rPr>
          <w:rFonts w:ascii="仿宋_GB2312" w:hAnsi="宋体" w:eastAsia="仿宋_GB2312"/>
          <w:sz w:val="32"/>
          <w:szCs w:val="32"/>
        </w:rPr>
      </w:pPr>
      <w:r>
        <w:rPr>
          <w:rFonts w:hint="eastAsia" w:ascii="仿宋_GB2312" w:hAnsi="楷体" w:eastAsia="仿宋_GB2312" w:cs="楷体"/>
          <w:color w:val="000000"/>
          <w:sz w:val="32"/>
          <w:szCs w:val="32"/>
        </w:rPr>
        <w:t>2、聚焦财政运行，抓好收支管理。面对经济持续下行、减税降费和新冠肺炎疫情等多重因素叠加影响，科学研判财政收支形势，制定有效应对措施。一是抓好资金调度。坚持“保基本民生、保工资、保运转”在财政支出中的优先顺序，着力做好资金调度和库款保障，确保资金及时拨付。二是及时调整预算。</w:t>
      </w:r>
      <w:r>
        <w:rPr>
          <w:rFonts w:hint="eastAsia" w:ascii="仿宋_GB2312" w:hAnsi="黑体" w:eastAsia="仿宋_GB2312"/>
          <w:sz w:val="32"/>
          <w:szCs w:val="32"/>
        </w:rPr>
        <w:t>充分</w:t>
      </w:r>
      <w:r>
        <w:rPr>
          <w:rFonts w:hint="eastAsia" w:ascii="仿宋_GB2312" w:hAnsi="楷体" w:eastAsia="仿宋_GB2312" w:cs="楷体"/>
          <w:color w:val="000000"/>
          <w:sz w:val="32"/>
          <w:szCs w:val="32"/>
        </w:rPr>
        <w:t>研判</w:t>
      </w:r>
      <w:r>
        <w:rPr>
          <w:rFonts w:hint="eastAsia" w:ascii="仿宋_GB2312" w:hAnsi="黑体" w:eastAsia="仿宋_GB2312"/>
          <w:sz w:val="32"/>
          <w:szCs w:val="32"/>
        </w:rPr>
        <w:t>新冠肺炎疫情对收入的影响，及时对收入目标进行调整，地方一般公共预算收入从6亿元</w:t>
      </w:r>
      <w:r>
        <w:rPr>
          <w:rFonts w:ascii="仿宋_GB2312" w:hAnsi="黑体" w:eastAsia="仿宋_GB2312"/>
          <w:sz w:val="32"/>
          <w:szCs w:val="32"/>
        </w:rPr>
        <w:t>调整为</w:t>
      </w:r>
      <w:r>
        <w:rPr>
          <w:rFonts w:hint="eastAsia" w:ascii="仿宋_GB2312" w:hAnsi="黑体" w:eastAsia="仿宋_GB2312"/>
          <w:sz w:val="32"/>
          <w:szCs w:val="32"/>
        </w:rPr>
        <w:t>4亿元。三是制定节支措施。2020年4月24日县委、县政府印发了</w:t>
      </w:r>
      <w:r>
        <w:rPr>
          <w:rFonts w:hint="eastAsia" w:ascii="仿宋_GB2312" w:hAnsi="宋体" w:eastAsia="仿宋_GB2312"/>
          <w:sz w:val="32"/>
          <w:szCs w:val="32"/>
        </w:rPr>
        <w:t>《关于过“紧日子”要求的通知》，明确六项节支措施。2020年8月25日县政府印发了《</w:t>
      </w:r>
      <w:r>
        <w:rPr>
          <w:rFonts w:hint="eastAsia" w:ascii="仿宋_GB2312" w:eastAsia="仿宋_GB2312"/>
          <w:sz w:val="32"/>
          <w:szCs w:val="32"/>
        </w:rPr>
        <w:t>关于积极应对新冠肺炎疫情冲击全面从严从紧加强预算管理的通知》，进一步明确了12个方面的要求，让厉行节约</w:t>
      </w:r>
      <w:r>
        <w:rPr>
          <w:rFonts w:hint="eastAsia" w:ascii="仿宋_GB2312" w:hAnsi="宋体" w:eastAsia="仿宋_GB2312"/>
          <w:sz w:val="32"/>
          <w:szCs w:val="32"/>
        </w:rPr>
        <w:t>过“紧日子”</w:t>
      </w:r>
      <w:r>
        <w:rPr>
          <w:rFonts w:hint="eastAsia" w:ascii="仿宋_GB2312" w:eastAsia="仿宋_GB2312"/>
          <w:sz w:val="32"/>
          <w:szCs w:val="32"/>
        </w:rPr>
        <w:t>成为共识。四是优化支出结构。严格执行无必需不支出的要求，大力</w:t>
      </w:r>
      <w:r>
        <w:rPr>
          <w:rFonts w:hint="eastAsia" w:ascii="仿宋_GB2312" w:hAnsi="宋体" w:eastAsia="仿宋_GB2312"/>
          <w:sz w:val="32"/>
          <w:szCs w:val="32"/>
        </w:rPr>
        <w:t>压缩一般性支出</w:t>
      </w:r>
      <w:r>
        <w:rPr>
          <w:rFonts w:hint="eastAsia" w:eastAsia="仿宋_GB2312"/>
          <w:sz w:val="32"/>
          <w:szCs w:val="32"/>
        </w:rPr>
        <w:t>，压减项目</w:t>
      </w:r>
      <w:r>
        <w:rPr>
          <w:rFonts w:hint="eastAsia" w:ascii="仿宋_GB2312" w:hAnsi="宋体" w:eastAsia="仿宋_GB2312"/>
          <w:sz w:val="32"/>
          <w:szCs w:val="32"/>
        </w:rPr>
        <w:t>支出9000万元，节约财力用于疫情防控和疫后重振。五是积极争取补助。争取到位减收增支补助1.8亿元，</w:t>
      </w:r>
      <w:r>
        <w:rPr>
          <w:rFonts w:hint="eastAsia" w:ascii="仿宋_GB2312" w:hAnsi="仿宋" w:eastAsia="仿宋_GB2312" w:cs="仿宋"/>
          <w:sz w:val="32"/>
          <w:szCs w:val="32"/>
        </w:rPr>
        <w:t>有效缓解本级支出压力。</w:t>
      </w:r>
    </w:p>
    <w:p>
      <w:pPr>
        <w:pStyle w:val="2"/>
        <w:spacing w:line="600" w:lineRule="exact"/>
        <w:ind w:firstLine="640" w:firstLineChars="200"/>
        <w:jc w:val="both"/>
        <w:rPr>
          <w:rFonts w:ascii="仿宋_GB2312" w:hAnsi="仿宋" w:eastAsia="仿宋_GB2312" w:cs="仿宋"/>
          <w:sz w:val="32"/>
          <w:szCs w:val="32"/>
        </w:rPr>
      </w:pPr>
      <w:r>
        <w:rPr>
          <w:rFonts w:hint="eastAsia" w:ascii="仿宋_GB2312" w:hAnsi="楷体" w:eastAsia="仿宋_GB2312" w:cs="楷体"/>
          <w:color w:val="000000"/>
          <w:sz w:val="32"/>
          <w:szCs w:val="32"/>
        </w:rPr>
        <w:t>3、</w:t>
      </w:r>
      <w:r>
        <w:rPr>
          <w:rFonts w:hint="eastAsia" w:ascii="仿宋_GB2312" w:hAnsi="楷体" w:eastAsia="仿宋_GB2312" w:cs="楷体"/>
          <w:sz w:val="32"/>
          <w:szCs w:val="32"/>
        </w:rPr>
        <w:t>聚焦 “六稳”“六保”，加大财政投入</w:t>
      </w:r>
      <w:r>
        <w:rPr>
          <w:rFonts w:hint="eastAsia" w:ascii="仿宋_GB2312" w:hAnsi="楷体" w:eastAsia="仿宋_GB2312" w:cs="楷体"/>
          <w:color w:val="000000"/>
          <w:sz w:val="32"/>
          <w:szCs w:val="32"/>
        </w:rPr>
        <w:t>。</w:t>
      </w:r>
      <w:r>
        <w:rPr>
          <w:rFonts w:hint="eastAsia" w:ascii="仿宋_GB2312" w:hAnsi="仿宋" w:eastAsia="仿宋_GB2312" w:cs="仿宋"/>
          <w:sz w:val="32"/>
          <w:szCs w:val="32"/>
        </w:rPr>
        <w:t>根据秭归实际，找准找足支持依据，抓实对上争取工作，全年争取到位上级转移支付资金31亿元，同比增长37.4%，为做好</w:t>
      </w:r>
      <w:r>
        <w:rPr>
          <w:rFonts w:hint="eastAsia" w:ascii="仿宋_GB2312" w:hAnsi="楷体" w:eastAsia="仿宋_GB2312" w:cs="楷体"/>
          <w:sz w:val="32"/>
          <w:szCs w:val="32"/>
        </w:rPr>
        <w:t>“六稳”工作、落实“六保”任务提供了财力保障</w:t>
      </w:r>
      <w:r>
        <w:rPr>
          <w:rFonts w:hint="eastAsia" w:ascii="仿宋_GB2312" w:hAnsi="仿宋" w:eastAsia="仿宋_GB2312" w:cs="仿宋"/>
          <w:sz w:val="32"/>
          <w:szCs w:val="32"/>
        </w:rPr>
        <w:t>。通过预算安排、统筹整合、争取债券等多种方式，筹集资金支持重点项目建设，保证了芝茅路建成通车、童庄河大桥建设按进度推进，促进了郭文路、杨太路、罗家水库、白家河水库等一大批项目开工建设。抓住专项债券增量扩容的重大契机，积极向上申报政府债券， 22个项目入选省储备库，8个项目成功发行，发行专项债券资金3.35亿元，促成了天然气管网、县游泳馆、康养园、城市垃圾分类等项目的顺利实施，也为2021年的争取工作打下良好的基础。</w:t>
      </w:r>
      <w:r>
        <w:rPr>
          <w:rFonts w:hint="eastAsia" w:ascii="仿宋_GB2312" w:eastAsia="仿宋_GB2312"/>
          <w:sz w:val="32"/>
          <w:szCs w:val="32"/>
        </w:rPr>
        <w:t>坚持“因需而整、应整尽整”原则，扎实做好财政扶贫资金统筹整合，全年统筹整合财政资金8.79亿元，脱贫成果得到进一步巩固。县本级安排资金5</w:t>
      </w:r>
      <w:r>
        <w:rPr>
          <w:rFonts w:ascii="仿宋_GB2312" w:eastAsia="仿宋_GB2312"/>
          <w:sz w:val="32"/>
          <w:szCs w:val="32"/>
        </w:rPr>
        <w:t>61</w:t>
      </w:r>
      <w:r>
        <w:rPr>
          <w:rFonts w:hint="eastAsia" w:ascii="仿宋_GB2312" w:eastAsia="仿宋_GB2312"/>
          <w:sz w:val="32"/>
          <w:szCs w:val="32"/>
        </w:rPr>
        <w:t>7</w:t>
      </w:r>
      <w:r>
        <w:rPr>
          <w:rFonts w:ascii="仿宋_GB2312" w:eastAsia="仿宋_GB2312"/>
          <w:sz w:val="32"/>
          <w:szCs w:val="32"/>
        </w:rPr>
        <w:t>万元</w:t>
      </w:r>
      <w:r>
        <w:rPr>
          <w:rFonts w:hint="eastAsia" w:ascii="仿宋_GB2312" w:eastAsia="仿宋_GB2312"/>
          <w:sz w:val="32"/>
          <w:szCs w:val="32"/>
        </w:rPr>
        <w:t>，大力支持污染防治、长江禁捕和落实河湖长制等工作，支持打好碧水、蓝天、净土保卫战。</w:t>
      </w:r>
    </w:p>
    <w:p>
      <w:pPr>
        <w:spacing w:line="600" w:lineRule="exact"/>
        <w:ind w:firstLine="640" w:firstLineChars="200"/>
        <w:rPr>
          <w:rFonts w:ascii="仿宋_GB2312" w:hAnsi="仿宋" w:eastAsia="仿宋_GB2312" w:cs="仿宋"/>
          <w:sz w:val="32"/>
          <w:szCs w:val="32"/>
        </w:rPr>
      </w:pPr>
      <w:r>
        <w:rPr>
          <w:rFonts w:ascii="仿宋_GB2312" w:eastAsia="仿宋_GB2312"/>
          <w:sz w:val="32"/>
          <w:szCs w:val="32"/>
        </w:rPr>
        <w:t>4</w:t>
      </w:r>
      <w:r>
        <w:rPr>
          <w:rFonts w:hint="eastAsia" w:ascii="仿宋_GB2312" w:eastAsia="仿宋_GB2312"/>
          <w:sz w:val="32"/>
          <w:szCs w:val="32"/>
        </w:rPr>
        <w:t>、</w:t>
      </w:r>
      <w:r>
        <w:rPr>
          <w:rFonts w:hint="eastAsia" w:ascii="仿宋_GB2312" w:hAnsi="楷体" w:eastAsia="仿宋_GB2312" w:cs="楷体"/>
          <w:color w:val="000000"/>
          <w:sz w:val="32"/>
          <w:szCs w:val="32"/>
        </w:rPr>
        <w:t>聚焦预算执行，实施财政监督。</w:t>
      </w:r>
      <w:r>
        <w:rPr>
          <w:rFonts w:hint="eastAsia" w:ascii="仿宋_GB2312" w:hAnsi="仿宋" w:eastAsia="仿宋_GB2312"/>
          <w:sz w:val="32"/>
          <w:szCs w:val="32"/>
        </w:rPr>
        <w:t>进一步完善国库集中支付电子化管理工作，采取实时监控和事后监督相结合的模式，将动态监控范围拓展到所有财政资金和全部业务流程，专人负责做好扶贫资金动态监控，扎实开展财政直达资金管理，不断提升预算执行的规范性和支出进度，全年累计办理国库集中支付业务7万多笔，累计拨付资金85亿多元，确保了资金拨付及时、安全、高效。组织9个专班对预算执行、</w:t>
      </w:r>
      <w:r>
        <w:rPr>
          <w:rFonts w:hint="eastAsia" w:ascii="仿宋_GB2312" w:hAnsi="仿宋" w:eastAsia="仿宋_GB2312" w:cs="仿宋"/>
          <w:sz w:val="32"/>
          <w:szCs w:val="32"/>
        </w:rPr>
        <w:t>政府债券、预决算公开开展了全面检查，对发现的问题及时整改，起到了预防警示在前的作用。强力推进盘活财政资金，对两年以上的结转资金和当年未使用的本级预算资金，全部收回预算统筹，有效破解执行进度慢的问题。</w:t>
      </w:r>
      <w:r>
        <w:rPr>
          <w:rFonts w:hint="eastAsia" w:ascii="仿宋_GB2312" w:hAnsi="宋体" w:eastAsia="仿宋_GB2312"/>
          <w:sz w:val="32"/>
          <w:szCs w:val="32"/>
        </w:rPr>
        <w:t>落实政府债券分月发行要求，多种措施督促加快资金拨付，当年新增一般债券使用率达98.98%，专项债券达到100%。</w:t>
      </w:r>
    </w:p>
    <w:p>
      <w:pPr>
        <w:spacing w:line="600" w:lineRule="exact"/>
        <w:ind w:firstLine="640" w:firstLineChars="200"/>
        <w:rPr>
          <w:rFonts w:ascii="仿宋_GB2312" w:eastAsia="仿宋_GB2312"/>
          <w:sz w:val="32"/>
          <w:szCs w:val="32"/>
        </w:rPr>
      </w:pPr>
      <w:r>
        <w:rPr>
          <w:rFonts w:hint="eastAsia" w:ascii="仿宋_GB2312" w:hAnsi="楷体" w:eastAsia="仿宋_GB2312" w:cs="楷体"/>
          <w:color w:val="000000"/>
          <w:sz w:val="32"/>
          <w:szCs w:val="32"/>
        </w:rPr>
        <w:t>5、聚焦财政职能，推进财政改革。一是</w:t>
      </w:r>
      <w:r>
        <w:rPr>
          <w:rFonts w:hint="eastAsia" w:ascii="仿宋_GB2312" w:eastAsia="仿宋_GB2312"/>
          <w:sz w:val="32"/>
          <w:szCs w:val="32"/>
        </w:rPr>
        <w:t>深化预算管理改革。强力</w:t>
      </w:r>
      <w:r>
        <w:rPr>
          <w:rFonts w:hint="eastAsia" w:ascii="仿宋_GB2312" w:hAnsi="仿宋" w:eastAsia="仿宋_GB2312"/>
          <w:sz w:val="32"/>
          <w:szCs w:val="32"/>
        </w:rPr>
        <w:t>推进零基预算，打破“基数+</w:t>
      </w:r>
      <w:r>
        <w:rPr>
          <w:rFonts w:ascii="仿宋_GB2312" w:hAnsi="仿宋" w:eastAsia="仿宋_GB2312"/>
          <w:sz w:val="32"/>
          <w:szCs w:val="32"/>
        </w:rPr>
        <w:t>增长</w:t>
      </w:r>
      <w:r>
        <w:rPr>
          <w:rFonts w:hint="eastAsia" w:ascii="仿宋_GB2312" w:hAnsi="仿宋" w:eastAsia="仿宋_GB2312"/>
          <w:sz w:val="32"/>
          <w:szCs w:val="32"/>
        </w:rPr>
        <w:t>”</w:t>
      </w:r>
      <w:r>
        <w:rPr>
          <w:rFonts w:ascii="仿宋_GB2312" w:hAnsi="仿宋" w:eastAsia="仿宋_GB2312"/>
          <w:sz w:val="32"/>
          <w:szCs w:val="32"/>
        </w:rPr>
        <w:t>的</w:t>
      </w:r>
      <w:r>
        <w:rPr>
          <w:rFonts w:hint="eastAsia" w:ascii="仿宋_GB2312" w:hAnsi="仿宋" w:eastAsia="仿宋_GB2312"/>
          <w:sz w:val="32"/>
          <w:szCs w:val="32"/>
        </w:rPr>
        <w:t>固定预算模式，建立能增能减、有保有压的预算机制。进一步</w:t>
      </w:r>
      <w:r>
        <w:rPr>
          <w:rFonts w:hint="eastAsia" w:ascii="仿宋_GB2312" w:eastAsia="仿宋_GB2312"/>
          <w:sz w:val="32"/>
          <w:szCs w:val="32"/>
        </w:rPr>
        <w:t>加强四本预算的统筹衔接</w:t>
      </w:r>
      <w:r>
        <w:rPr>
          <w:rFonts w:hint="eastAsia" w:ascii="仿宋_GB2312" w:hAnsi="仿宋" w:eastAsia="仿宋_GB2312"/>
          <w:sz w:val="32"/>
          <w:szCs w:val="32"/>
        </w:rPr>
        <w:t>，健全和完善地方预算体系</w:t>
      </w:r>
      <w:r>
        <w:rPr>
          <w:rFonts w:hint="eastAsia" w:ascii="仿宋_GB2312" w:eastAsia="仿宋_GB2312"/>
          <w:color w:val="000000"/>
          <w:sz w:val="32"/>
          <w:szCs w:val="32"/>
        </w:rPr>
        <w:t>。二是推进绩效管理改革。</w:t>
      </w:r>
      <w:r>
        <w:rPr>
          <w:rFonts w:hint="eastAsia" w:ascii="仿宋_GB2312" w:hAnsi="仿宋" w:eastAsia="仿宋_GB2312" w:cs="仿宋"/>
          <w:sz w:val="32"/>
          <w:szCs w:val="32"/>
        </w:rPr>
        <w:t>制定了《关于印发全面实施预算绩效管理系列制度的通知》等四项管理制度，实行绩效评价工作全覆盖，建立重点绩效评价结果向人大和政府报告制度，加大评价结果的运用力度，省财政厅宜昌片区调研培训现场会在我县召开，秭归推进绩效改革工作在省厅视频工作中交流发言，并获得奖励资金106万元。</w:t>
      </w:r>
      <w:r>
        <w:rPr>
          <w:rFonts w:hint="eastAsia" w:ascii="仿宋_GB2312" w:eastAsia="仿宋_GB2312"/>
          <w:sz w:val="32"/>
          <w:szCs w:val="32"/>
        </w:rPr>
        <w:t>三是优化政府采购管理改革。规范政府采购公告和公示信息发布行为，推进政府采购信息化建设。充分发挥政府采购政策功能，组织全县预算单位积极采购贫困地区农副产品，深入推进政府采购支持脱贫攻坚工作。四是强化制度体系建设。印发</w:t>
      </w:r>
      <w:r>
        <w:rPr>
          <w:rFonts w:hint="eastAsia" w:ascii="仿宋_GB2312" w:hAnsi="宋体" w:eastAsia="仿宋_GB2312"/>
          <w:sz w:val="32"/>
          <w:szCs w:val="32"/>
        </w:rPr>
        <w:t>《秭归县政府债券管理暂行办法》等管理制度7项，联合其它部门印发各类资金管理办法3项，有序推进会议费管理办法的修订工作，与时俱进完善和加强制度体系建设</w:t>
      </w:r>
      <w:r>
        <w:rPr>
          <w:rFonts w:hint="eastAsia" w:ascii="仿宋_GB2312" w:eastAsia="仿宋_GB2312"/>
          <w:sz w:val="32"/>
          <w:szCs w:val="32"/>
        </w:rPr>
        <w:t>。</w:t>
      </w:r>
    </w:p>
    <w:p>
      <w:pPr>
        <w:pStyle w:val="6"/>
        <w:widowControl w:val="0"/>
        <w:spacing w:before="0" w:beforeAutospacing="0" w:after="0" w:afterAutospacing="0" w:line="600" w:lineRule="exact"/>
        <w:ind w:firstLine="640" w:firstLineChars="200"/>
        <w:contextualSpacing/>
        <w:jc w:val="both"/>
        <w:rPr>
          <w:rFonts w:ascii="仿宋_GB2312" w:hAnsi="仿宋" w:eastAsia="仿宋_GB2312" w:cs="仿宋"/>
          <w:sz w:val="32"/>
          <w:szCs w:val="32"/>
        </w:rPr>
      </w:pPr>
      <w:r>
        <w:rPr>
          <w:rFonts w:hint="eastAsia" w:ascii="仿宋_GB2312" w:hAnsi="仿宋" w:eastAsia="仿宋_GB2312" w:cs="仿宋"/>
          <w:sz w:val="32"/>
          <w:szCs w:val="32"/>
        </w:rPr>
        <w:t>2020年的预算执行总体较好，但也还存在一些亟待解决的问题。主要表现在：一是预算编制不科学、不全面，预算的前瞻性和全面性需进一步提升；二是预算执行不规范，预算执行进度慢，新增存量和预算追加现象并存尚需加力解决；三是预算绩效评价质量不高，绩效目标简单易达，评价形式重于内容，以结果为导向的绩效管理机制还未真正建立；四是盘活存量资金意识淡薄，少数单位存在不理解不支持的现象，财政统筹能力需进一步加强。</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二、2021年预算草案</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（一）预算编制的指导思想</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2021年是中国共产党成立100周年，是“十四五”规划开局之年，预算工作坚持以习近平新时代中国特色社会主义思想为指导，认真贯彻党的十九大、十九届二中、三中、四中、五中全会精神，</w:t>
      </w:r>
      <w:r>
        <w:rPr>
          <w:rFonts w:hint="eastAsia" w:ascii="仿宋_GB2312" w:hAnsi="仿宋" w:eastAsia="仿宋_GB2312"/>
          <w:sz w:val="32"/>
          <w:szCs w:val="32"/>
        </w:rPr>
        <w:t>坚决落实中央和省、市、县各级党委、政府的决策部署，</w:t>
      </w:r>
      <w:r>
        <w:rPr>
          <w:rFonts w:hint="eastAsia" w:ascii="仿宋_GB2312" w:hAnsi="仿宋" w:eastAsia="仿宋_GB2312" w:cs="仿宋"/>
          <w:sz w:val="32"/>
          <w:szCs w:val="32"/>
        </w:rPr>
        <w:t>全面提升财政管理和服务能力现代化。</w:t>
      </w:r>
      <w:r>
        <w:rPr>
          <w:rFonts w:hint="eastAsia" w:ascii="仿宋_GB2312" w:hAnsi="仿宋" w:eastAsia="仿宋_GB2312"/>
          <w:sz w:val="32"/>
          <w:szCs w:val="32"/>
        </w:rPr>
        <w:t>坚定不移贯彻新发展理念，坚持稳中求进工作总基调，充分发挥财政政策逆周期调节作用，着力做好“六稳”工作，全面落实“六保”任务；坚持长期过“紧日子”的思想，强化零基预算理念，建立能增能减、有保有压的预算分配机制，硬化预算约束，确保财政稳定和可持续；强化绩效管理理念，实施全口径预算，所有收支全部纳入预算管理，逐步建立全面规范透明、标准科学、约束有力、精准高效的预算制度。</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（二）预算编制的基本原则</w:t>
      </w:r>
    </w:p>
    <w:p>
      <w:pPr>
        <w:spacing w:line="600" w:lineRule="exact"/>
        <w:ind w:firstLine="643" w:firstLineChars="200"/>
        <w:rPr>
          <w:rFonts w:ascii="仿宋_GB2312" w:hAnsi="仿宋" w:eastAsia="仿宋_GB2312"/>
          <w:sz w:val="32"/>
          <w:szCs w:val="32"/>
        </w:rPr>
      </w:pPr>
      <w:r>
        <w:rPr>
          <w:rFonts w:hint="eastAsia" w:ascii="仿宋_GB2312" w:hAnsi="仿宋" w:eastAsia="仿宋_GB2312"/>
          <w:b/>
          <w:sz w:val="32"/>
          <w:szCs w:val="32"/>
        </w:rPr>
        <w:t>1.依法理财原则。</w:t>
      </w:r>
      <w:r>
        <w:rPr>
          <w:rFonts w:hint="eastAsia" w:ascii="仿宋_GB2312" w:hAnsi="仿宋" w:eastAsia="仿宋_GB2312"/>
          <w:sz w:val="32"/>
          <w:szCs w:val="32"/>
        </w:rPr>
        <w:t>全面落实新修订的《预算法实施条例》，切实规范预算编制、执行、决算和监督行为，按照公开、公正、透明的要求，做好2021年预算编制工作。</w:t>
      </w:r>
    </w:p>
    <w:p>
      <w:pPr>
        <w:spacing w:line="600" w:lineRule="exact"/>
        <w:ind w:firstLine="643" w:firstLineChars="200"/>
        <w:rPr>
          <w:rFonts w:ascii="仿宋_GB2312" w:hAnsi="仿宋" w:eastAsia="仿宋_GB2312"/>
          <w:sz w:val="32"/>
          <w:szCs w:val="32"/>
        </w:rPr>
      </w:pPr>
      <w:r>
        <w:rPr>
          <w:rFonts w:hint="eastAsia" w:ascii="仿宋_GB2312" w:hAnsi="仿宋" w:eastAsia="仿宋_GB2312"/>
          <w:b/>
          <w:sz w:val="32"/>
          <w:szCs w:val="32"/>
        </w:rPr>
        <w:t>2.厉行节约原则。</w:t>
      </w:r>
      <w:r>
        <w:rPr>
          <w:rFonts w:hint="eastAsia" w:ascii="仿宋_GB2312" w:hAnsi="仿宋" w:eastAsia="仿宋_GB2312"/>
          <w:bCs/>
          <w:sz w:val="32"/>
          <w:szCs w:val="32"/>
        </w:rPr>
        <w:t>优化财政收支结构，着力保障和改善民生，牢固树立过“紧日子”的思想，精打细算、厉行节约，大</w:t>
      </w:r>
      <w:r>
        <w:rPr>
          <w:rFonts w:hint="eastAsia" w:ascii="仿宋_GB2312" w:hAnsi="仿宋" w:eastAsia="仿宋_GB2312"/>
          <w:sz w:val="32"/>
          <w:szCs w:val="32"/>
        </w:rPr>
        <w:t>力压缩“三公”经费等一般性支出，努力降低行政运行成本。</w:t>
      </w:r>
    </w:p>
    <w:p>
      <w:pPr>
        <w:spacing w:line="600" w:lineRule="exact"/>
        <w:ind w:firstLine="643" w:firstLineChars="200"/>
        <w:rPr>
          <w:rFonts w:ascii="仿宋_GB2312" w:hAnsi="仿宋" w:eastAsia="仿宋_GB2312"/>
          <w:sz w:val="32"/>
          <w:szCs w:val="32"/>
        </w:rPr>
      </w:pPr>
      <w:r>
        <w:rPr>
          <w:rFonts w:hint="eastAsia" w:ascii="仿宋_GB2312" w:hAnsi="仿宋" w:eastAsia="仿宋_GB2312"/>
          <w:b/>
          <w:sz w:val="32"/>
          <w:szCs w:val="32"/>
        </w:rPr>
        <w:t>3.讲求绩效原则。</w:t>
      </w:r>
      <w:r>
        <w:rPr>
          <w:rFonts w:hint="eastAsia" w:ascii="仿宋_GB2312" w:hAnsi="仿宋" w:eastAsia="仿宋_GB2312"/>
          <w:sz w:val="32"/>
          <w:szCs w:val="32"/>
        </w:rPr>
        <w:t>深化绩效预算理念，加大部门预算执行情况的跟踪问效，扩大绩效评价结果的运用范围，逐步建立以评价结果指导预算的制度。</w:t>
      </w:r>
    </w:p>
    <w:p>
      <w:pPr>
        <w:spacing w:line="600" w:lineRule="exact"/>
        <w:ind w:firstLine="643" w:firstLineChars="200"/>
        <w:rPr>
          <w:rFonts w:ascii="仿宋_GB2312" w:hAnsi="仿宋" w:eastAsia="仿宋_GB2312" w:cs="仿宋"/>
          <w:sz w:val="32"/>
          <w:szCs w:val="32"/>
        </w:rPr>
      </w:pPr>
      <w:r>
        <w:rPr>
          <w:rFonts w:hint="eastAsia" w:ascii="仿宋_GB2312" w:hAnsi="仿宋" w:eastAsia="仿宋_GB2312"/>
          <w:b/>
          <w:bCs/>
          <w:sz w:val="32"/>
          <w:szCs w:val="32"/>
        </w:rPr>
        <w:t>4.精准规范原则。</w:t>
      </w:r>
      <w:r>
        <w:rPr>
          <w:rFonts w:hint="eastAsia" w:ascii="仿宋_GB2312" w:hAnsi="仿宋" w:eastAsia="仿宋_GB2312" w:cs="仿宋"/>
          <w:sz w:val="32"/>
          <w:szCs w:val="32"/>
        </w:rPr>
        <w:t>按照规范程序和标准，细化预算编制，做到预算口径精准、项目编制精准、测算数据精准，预算编制涵盖财政收支、资产配置、政府采购、政府购买服务全领域，实现应编尽编，实现一本预算管全年。</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（三）预算草案</w:t>
      </w:r>
    </w:p>
    <w:p>
      <w:pPr>
        <w:snapToGrid w:val="0"/>
        <w:spacing w:line="600" w:lineRule="exact"/>
        <w:ind w:firstLine="643" w:firstLineChars="200"/>
        <w:rPr>
          <w:rFonts w:ascii="仿宋_GB2312" w:hAnsi="仿宋" w:eastAsia="仿宋_GB2312" w:cs="仿宋"/>
          <w:b/>
          <w:bCs/>
          <w:sz w:val="32"/>
          <w:szCs w:val="32"/>
        </w:rPr>
      </w:pPr>
      <w:r>
        <w:rPr>
          <w:rFonts w:hint="eastAsia" w:ascii="仿宋_GB2312" w:hAnsi="仿宋" w:eastAsia="仿宋_GB2312" w:cs="仿宋"/>
          <w:b/>
          <w:bCs/>
          <w:sz w:val="32"/>
          <w:szCs w:val="32"/>
        </w:rPr>
        <w:t>1、一般公共预算草案</w:t>
      </w:r>
    </w:p>
    <w:p>
      <w:pPr>
        <w:widowControl/>
        <w:spacing w:line="600" w:lineRule="exact"/>
        <w:ind w:firstLine="640" w:firstLineChars="200"/>
        <w:rPr>
          <w:rFonts w:ascii="仿宋_GB2312" w:eastAsia="仿宋_GB2312"/>
          <w:kern w:val="0"/>
          <w:sz w:val="32"/>
          <w:szCs w:val="32"/>
        </w:rPr>
      </w:pPr>
      <w:r>
        <w:rPr>
          <w:rFonts w:hint="eastAsia" w:ascii="仿宋_GB2312" w:hAnsi="楷体" w:eastAsia="仿宋_GB2312"/>
          <w:color w:val="000000"/>
          <w:kern w:val="0"/>
          <w:sz w:val="32"/>
          <w:szCs w:val="32"/>
        </w:rPr>
        <w:t>（1）一般公共预算收入。</w:t>
      </w:r>
      <w:r>
        <w:rPr>
          <w:rFonts w:hint="eastAsia" w:ascii="仿宋_GB2312" w:eastAsia="仿宋_GB2312"/>
          <w:color w:val="000000"/>
          <w:kern w:val="0"/>
          <w:sz w:val="32"/>
          <w:szCs w:val="32"/>
        </w:rPr>
        <w:t>地方一般公共预算收入预算目标为5.5亿元，比2020年完成数3.95亿元增长39.24%，其中税收收入4.2亿元，非税收入1.3亿元，税收占比76.36%。</w:t>
      </w:r>
      <w:r>
        <w:rPr>
          <w:rFonts w:hint="eastAsia" w:ascii="仿宋_GB2312" w:eastAsia="仿宋_GB2312"/>
          <w:kern w:val="0"/>
          <w:sz w:val="32"/>
          <w:szCs w:val="32"/>
        </w:rPr>
        <w:t>奋斗目标为6亿元。</w:t>
      </w:r>
    </w:p>
    <w:p>
      <w:pPr>
        <w:spacing w:line="600" w:lineRule="exact"/>
        <w:ind w:firstLine="640" w:firstLineChars="200"/>
        <w:rPr>
          <w:rFonts w:ascii="仿宋_GB2312" w:hAnsi="黑体" w:eastAsia="仿宋_GB2312"/>
          <w:sz w:val="32"/>
          <w:szCs w:val="32"/>
        </w:rPr>
      </w:pPr>
      <w:r>
        <w:rPr>
          <w:rFonts w:hint="eastAsia" w:ascii="仿宋_GB2312" w:hAnsi="宋体" w:eastAsia="仿宋_GB2312"/>
          <w:sz w:val="32"/>
          <w:szCs w:val="32"/>
        </w:rPr>
        <w:t>（2）一般公共预算支出。</w:t>
      </w:r>
      <w:r>
        <w:rPr>
          <w:rFonts w:hint="eastAsia" w:ascii="仿宋_GB2312" w:eastAsia="仿宋_GB2312"/>
          <w:sz w:val="32"/>
          <w:szCs w:val="32"/>
        </w:rPr>
        <w:t>一般公共预算支出为29.37亿元，同比减少5575万元</w:t>
      </w:r>
      <w:r>
        <w:rPr>
          <w:rFonts w:hint="eastAsia" w:ascii="仿宋_GB2312" w:hAnsi="黑体" w:eastAsia="仿宋_GB2312"/>
          <w:sz w:val="32"/>
          <w:szCs w:val="32"/>
        </w:rPr>
        <w:t>。主要科目预算安排情况：</w:t>
      </w:r>
    </w:p>
    <w:p>
      <w:pPr>
        <w:adjustRightInd w:val="0"/>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一般公共服务支出4.42亿元，剔除省专款（下同）同比增加5.53%；公共安全支出9814万元，同比增长4.77%；教育支出5.13亿元，同比增长6.74%；科学技术支出2415万元，同比下降8.02%；文化旅游体育与传媒支出4937万元，同比下降10.51%，；社会保障和就业支出4.13亿元，同比下降26.21%，主要是企业职工养老保险省级统筹后</w:t>
      </w:r>
      <w:r>
        <w:rPr>
          <w:rFonts w:ascii="仿宋_GB2312" w:hAnsi="黑体" w:eastAsia="仿宋_GB2312"/>
          <w:sz w:val="32"/>
          <w:szCs w:val="32"/>
        </w:rPr>
        <w:t>支出</w:t>
      </w:r>
      <w:r>
        <w:rPr>
          <w:rFonts w:hint="eastAsia" w:ascii="仿宋_GB2312" w:hAnsi="黑体" w:eastAsia="仿宋_GB2312"/>
          <w:sz w:val="32"/>
          <w:szCs w:val="32"/>
        </w:rPr>
        <w:t>减少；卫生健康支出4.66亿元，同比增长8.57%；节能环保支出2140万元，同比下降22.34%，主要是县生态环境局上划市级后支出减少；城乡社区支出7242万元，同比下降4.44%；农林水支出4.49亿元，同比增长0.45%；交通运输支出1.61亿元，同比增长15.22%；资源勘探信息等支出1396万元，同比下降80.77%；商业服务业等支出193万元，同比下降16.09%；自然资源海洋气象等支出2944万元，同比下降7.76%；住房保障支出4864万元；粮油物资储备支出596万元；灾害防治及应急管理2407万元，同比增加4.23%；债务付息支出7000万元，同比持平；预备费3360万元。</w:t>
      </w:r>
    </w:p>
    <w:p>
      <w:pPr>
        <w:spacing w:line="600" w:lineRule="exact"/>
        <w:ind w:firstLine="640" w:firstLineChars="200"/>
        <w:rPr>
          <w:rFonts w:ascii="仿宋_GB2312" w:hAnsi="仿宋" w:eastAsia="仿宋_GB2312" w:cs="仿宋"/>
          <w:sz w:val="32"/>
          <w:szCs w:val="32"/>
        </w:rPr>
      </w:pPr>
      <w:r>
        <w:rPr>
          <w:rFonts w:hint="eastAsia" w:ascii="仿宋_GB2312" w:hAnsi="宋体" w:eastAsia="仿宋_GB2312"/>
          <w:sz w:val="32"/>
          <w:szCs w:val="32"/>
        </w:rPr>
        <w:t>（3）预算平衡情况。</w:t>
      </w:r>
      <w:r>
        <w:rPr>
          <w:rFonts w:hint="eastAsia" w:ascii="仿宋_GB2312" w:eastAsia="仿宋_GB2312"/>
          <w:sz w:val="32"/>
          <w:szCs w:val="32"/>
        </w:rPr>
        <w:t>一般公共预算的收入总量为31.62亿元，其中：一般公共预算收入5.5亿元，上级补助收入19.98亿元，债券转贷收入1.15亿元，调入其他资金2.47亿元，调入预算稳定调节基金0.79亿元，上年结转1.73亿元；支出总量为31.62亿元，其中：一般公共预算支出29.37亿元，债务还本1.15亿元，上解支出1.1亿元。收支相抵，预算平衡。</w:t>
      </w:r>
    </w:p>
    <w:p>
      <w:pPr>
        <w:spacing w:line="600" w:lineRule="exact"/>
        <w:ind w:firstLine="643" w:firstLineChars="200"/>
        <w:rPr>
          <w:rFonts w:ascii="仿宋_GB2312" w:hAnsi="仿宋" w:eastAsia="仿宋_GB2312" w:cs="仿宋"/>
          <w:b/>
          <w:bCs/>
          <w:sz w:val="32"/>
          <w:szCs w:val="32"/>
        </w:rPr>
      </w:pPr>
      <w:r>
        <w:rPr>
          <w:rFonts w:hint="eastAsia" w:ascii="仿宋_GB2312" w:hAnsi="仿宋" w:eastAsia="仿宋_GB2312" w:cs="仿宋"/>
          <w:b/>
          <w:bCs/>
          <w:sz w:val="32"/>
          <w:szCs w:val="32"/>
        </w:rPr>
        <w:t>2、政府性基金预算草案</w:t>
      </w:r>
    </w:p>
    <w:p>
      <w:pPr>
        <w:snapToGrid w:val="0"/>
        <w:spacing w:line="600" w:lineRule="exact"/>
        <w:ind w:firstLine="640" w:firstLineChars="200"/>
        <w:rPr>
          <w:rFonts w:ascii="仿宋_GB2312" w:eastAsia="仿宋_GB2312"/>
        </w:rPr>
      </w:pPr>
      <w:r>
        <w:rPr>
          <w:rFonts w:hint="eastAsia" w:ascii="仿宋_GB2312" w:hAnsi="仿宋" w:eastAsia="仿宋_GB2312" w:cs="仿宋"/>
          <w:sz w:val="32"/>
          <w:szCs w:val="32"/>
        </w:rPr>
        <w:t>本级政府性基金收入2.99亿元。其中：土地出让金收入2.55亿元，同比增加5.7%；城市基础设施配套费收入700万元，同比增加17.06%；污水处理费收入700万元，同比增加25%，主要是乡镇污水处理厂的收费增加；车辆通行费收入1000万元，同比减少33.3%；新增专项债券对应项目专项收入2000万元，主要是企业上缴的专项债券利息。</w:t>
      </w:r>
    </w:p>
    <w:p>
      <w:pPr>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政府性基金预算本级支出</w:t>
      </w:r>
      <w:r>
        <w:rPr>
          <w:rFonts w:ascii="仿宋_GB2312" w:hAnsi="仿宋" w:eastAsia="仿宋_GB2312" w:cs="仿宋"/>
          <w:sz w:val="32"/>
          <w:szCs w:val="32"/>
        </w:rPr>
        <w:t>9.</w:t>
      </w:r>
      <w:r>
        <w:rPr>
          <w:rFonts w:hint="eastAsia" w:ascii="仿宋_GB2312" w:hAnsi="仿宋" w:eastAsia="仿宋_GB2312" w:cs="仿宋"/>
          <w:sz w:val="32"/>
          <w:szCs w:val="32"/>
        </w:rPr>
        <w:t>17亿元。主要科目为：社会保障和就业支出5656万元，主要是移民后</w:t>
      </w:r>
      <w:r>
        <w:rPr>
          <w:rFonts w:hint="eastAsia" w:ascii="仿宋_GB2312" w:hAnsi="仿宋" w:eastAsia="仿宋_GB2312" w:cs="仿宋"/>
          <w:color w:val="000000" w:themeColor="text1"/>
          <w:sz w:val="32"/>
          <w:szCs w:val="32"/>
          <w14:textFill>
            <w14:solidFill>
              <w14:schemeClr w14:val="tx1"/>
            </w14:solidFill>
          </w14:textFill>
        </w:rPr>
        <w:t>扶基金</w:t>
      </w:r>
      <w:r>
        <w:rPr>
          <w:rFonts w:hint="eastAsia" w:ascii="仿宋_GB2312" w:hAnsi="仿宋" w:eastAsia="仿宋_GB2312" w:cs="仿宋"/>
          <w:sz w:val="32"/>
          <w:szCs w:val="32"/>
        </w:rPr>
        <w:t>支出；农林水支出3.4亿元，主要是三峡水库基金支出和移民后续项目资金支出；城乡社区支出</w:t>
      </w:r>
      <w:r>
        <w:rPr>
          <w:rFonts w:ascii="仿宋_GB2312" w:hAnsi="仿宋" w:eastAsia="仿宋_GB2312" w:cs="仿宋"/>
          <w:sz w:val="32"/>
          <w:szCs w:val="32"/>
        </w:rPr>
        <w:t>4.25</w:t>
      </w:r>
      <w:r>
        <w:rPr>
          <w:rFonts w:hint="eastAsia" w:ascii="仿宋_GB2312" w:hAnsi="仿宋" w:eastAsia="仿宋_GB2312" w:cs="仿宋"/>
          <w:sz w:val="32"/>
          <w:szCs w:val="32"/>
        </w:rPr>
        <w:t>亿元，主要是土地出让金、城市基础设施配套费、污水处理费等支出；车辆通行费支出1109万元，</w:t>
      </w:r>
      <w:r>
        <w:rPr>
          <w:rFonts w:hint="eastAsia" w:ascii="仿宋" w:hAnsi="仿宋" w:eastAsia="仿宋" w:cs="仿宋"/>
          <w:sz w:val="32"/>
          <w:szCs w:val="32"/>
        </w:rPr>
        <w:t>为秭归长江大桥运营支出</w:t>
      </w:r>
      <w:r>
        <w:rPr>
          <w:rFonts w:hint="eastAsia" w:ascii="仿宋_GB2312" w:hAnsi="仿宋" w:eastAsia="仿宋_GB2312" w:cs="仿宋"/>
          <w:sz w:val="32"/>
          <w:szCs w:val="32"/>
        </w:rPr>
        <w:t>；其他支出1429万元，主要是彩票公益金支出；债务付息支出7000万元，为专项债券的债务利息。</w:t>
      </w:r>
    </w:p>
    <w:p>
      <w:pPr>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政府性基金总收入</w:t>
      </w:r>
      <w:r>
        <w:rPr>
          <w:rFonts w:ascii="仿宋_GB2312" w:hAnsi="仿宋" w:eastAsia="仿宋_GB2312" w:cs="仿宋"/>
          <w:sz w:val="32"/>
          <w:szCs w:val="32"/>
        </w:rPr>
        <w:t>11.03</w:t>
      </w:r>
      <w:r>
        <w:rPr>
          <w:rFonts w:hint="eastAsia" w:ascii="仿宋_GB2312" w:hAnsi="仿宋" w:eastAsia="仿宋_GB2312" w:cs="仿宋"/>
          <w:sz w:val="32"/>
          <w:szCs w:val="32"/>
        </w:rPr>
        <w:t>亿元。其中本级收入2.99亿元，专项转移支付收入</w:t>
      </w:r>
      <w:r>
        <w:rPr>
          <w:rFonts w:ascii="仿宋_GB2312" w:hAnsi="仿宋" w:eastAsia="仿宋_GB2312" w:cs="仿宋"/>
          <w:sz w:val="32"/>
          <w:szCs w:val="32"/>
        </w:rPr>
        <w:t>4.11</w:t>
      </w:r>
      <w:r>
        <w:rPr>
          <w:rFonts w:hint="eastAsia" w:ascii="仿宋_GB2312" w:hAnsi="仿宋" w:eastAsia="仿宋_GB2312" w:cs="仿宋"/>
          <w:sz w:val="32"/>
          <w:szCs w:val="32"/>
        </w:rPr>
        <w:t>亿元，债券转贷收入</w:t>
      </w:r>
      <w:r>
        <w:rPr>
          <w:rFonts w:ascii="仿宋_GB2312" w:hAnsi="仿宋" w:eastAsia="仿宋_GB2312" w:cs="仿宋"/>
          <w:sz w:val="32"/>
          <w:szCs w:val="32"/>
        </w:rPr>
        <w:t>1.41</w:t>
      </w:r>
      <w:r>
        <w:rPr>
          <w:rFonts w:hint="eastAsia" w:ascii="仿宋_GB2312" w:hAnsi="仿宋" w:eastAsia="仿宋_GB2312" w:cs="仿宋"/>
          <w:sz w:val="32"/>
          <w:szCs w:val="32"/>
        </w:rPr>
        <w:t>亿元，上年结转收入</w:t>
      </w:r>
      <w:r>
        <w:rPr>
          <w:rFonts w:ascii="仿宋_GB2312" w:hAnsi="仿宋" w:eastAsia="仿宋_GB2312" w:cs="仿宋"/>
          <w:sz w:val="32"/>
          <w:szCs w:val="32"/>
        </w:rPr>
        <w:t>2.52</w:t>
      </w:r>
      <w:r>
        <w:rPr>
          <w:rFonts w:hint="eastAsia" w:ascii="仿宋_GB2312" w:hAnsi="仿宋" w:eastAsia="仿宋_GB2312" w:cs="仿宋"/>
          <w:sz w:val="32"/>
          <w:szCs w:val="32"/>
        </w:rPr>
        <w:t>亿元。政府性基金总支出</w:t>
      </w:r>
      <w:r>
        <w:rPr>
          <w:rFonts w:ascii="仿宋_GB2312" w:hAnsi="仿宋" w:eastAsia="仿宋_GB2312" w:cs="仿宋"/>
          <w:sz w:val="32"/>
          <w:szCs w:val="32"/>
        </w:rPr>
        <w:t>11.03</w:t>
      </w:r>
      <w:r>
        <w:rPr>
          <w:rFonts w:hint="eastAsia" w:ascii="仿宋_GB2312" w:hAnsi="仿宋" w:eastAsia="仿宋_GB2312" w:cs="仿宋"/>
          <w:color w:val="000000" w:themeColor="text1"/>
          <w:sz w:val="32"/>
          <w:szCs w:val="32"/>
          <w14:textFill>
            <w14:solidFill>
              <w14:schemeClr w14:val="tx1"/>
            </w14:solidFill>
          </w14:textFill>
        </w:rPr>
        <w:t>亿元</w:t>
      </w:r>
      <w:r>
        <w:rPr>
          <w:rFonts w:hint="eastAsia" w:ascii="仿宋_GB2312" w:hAnsi="仿宋" w:eastAsia="仿宋_GB2312" w:cs="仿宋"/>
          <w:sz w:val="32"/>
          <w:szCs w:val="32"/>
        </w:rPr>
        <w:t>，其中本级支出</w:t>
      </w:r>
      <w:r>
        <w:rPr>
          <w:rFonts w:ascii="仿宋_GB2312" w:hAnsi="仿宋" w:eastAsia="仿宋_GB2312" w:cs="仿宋"/>
          <w:sz w:val="32"/>
          <w:szCs w:val="32"/>
        </w:rPr>
        <w:t>9.17</w:t>
      </w:r>
      <w:r>
        <w:rPr>
          <w:rFonts w:hint="eastAsia" w:ascii="仿宋_GB2312" w:hAnsi="仿宋" w:eastAsia="仿宋_GB2312" w:cs="仿宋"/>
          <w:sz w:val="32"/>
          <w:szCs w:val="32"/>
        </w:rPr>
        <w:t>亿元，债务还本支出1.41亿元，调出4500万元。收支相抵，预算平衡。</w:t>
      </w:r>
    </w:p>
    <w:p>
      <w:pPr>
        <w:snapToGrid w:val="0"/>
        <w:spacing w:line="600" w:lineRule="exact"/>
        <w:ind w:firstLine="643" w:firstLineChars="200"/>
        <w:rPr>
          <w:rFonts w:ascii="仿宋_GB2312" w:hAnsi="仿宋" w:eastAsia="仿宋_GB2312" w:cs="仿宋"/>
          <w:b/>
          <w:bCs/>
          <w:sz w:val="32"/>
          <w:szCs w:val="32"/>
        </w:rPr>
      </w:pPr>
      <w:r>
        <w:rPr>
          <w:rFonts w:hint="eastAsia" w:ascii="仿宋_GB2312" w:hAnsi="仿宋" w:eastAsia="仿宋_GB2312" w:cs="仿宋"/>
          <w:b/>
          <w:bCs/>
          <w:sz w:val="32"/>
          <w:szCs w:val="32"/>
        </w:rPr>
        <w:t>3、社会保险基金预算草案</w:t>
      </w:r>
    </w:p>
    <w:p>
      <w:pPr>
        <w:adjustRightIn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社会保险基金收入总量为10.49亿元。其中：历年结余4.31亿元，当年收入6.18亿元；支出总量5.26亿元，收支相抵，滚存结余5.23亿元。</w:t>
      </w:r>
    </w:p>
    <w:p>
      <w:pPr>
        <w:pStyle w:val="2"/>
        <w:spacing w:line="600" w:lineRule="exact"/>
        <w:ind w:firstLine="640" w:firstLineChars="200"/>
        <w:jc w:val="both"/>
        <w:rPr>
          <w:rFonts w:ascii="仿宋_GB2312" w:eastAsia="仿宋_GB2312"/>
        </w:rPr>
      </w:pPr>
      <w:r>
        <w:rPr>
          <w:rFonts w:hint="eastAsia" w:ascii="仿宋_GB2312" w:hAnsi="仿宋" w:eastAsia="仿宋_GB2312" w:cs="仿宋"/>
          <w:sz w:val="32"/>
          <w:szCs w:val="32"/>
        </w:rPr>
        <w:t>主要项目收支情况：城乡居民基本养老保险基金收入1.67亿元，支出9391万元；城镇职工基本医疗保险基金1.29亿元，支出1.07亿元；工伤保险基金收入680万元，支出1011万元；失业保险基金1603万元，支出1549万元；机关事业养老保险收入2.99亿元，支出2.99亿元。</w:t>
      </w:r>
    </w:p>
    <w:p>
      <w:pPr>
        <w:pStyle w:val="2"/>
        <w:spacing w:line="600" w:lineRule="exact"/>
        <w:ind w:firstLine="640" w:firstLineChars="200"/>
        <w:jc w:val="both"/>
        <w:rPr>
          <w:rFonts w:ascii="仿宋_GB2312" w:hAnsi="仿宋" w:eastAsia="仿宋_GB2312" w:cs="仿宋"/>
        </w:rPr>
      </w:pPr>
      <w:r>
        <w:rPr>
          <w:rFonts w:hint="eastAsia" w:ascii="仿宋_GB2312" w:hAnsi="仿宋" w:eastAsia="仿宋_GB2312" w:cs="仿宋"/>
          <w:sz w:val="32"/>
          <w:szCs w:val="32"/>
        </w:rPr>
        <w:t>因2021年企业职工基本养老保险基金省级统筹，居民基本医疗保险基金市级统筹，本级预算规模同比变动较大。</w:t>
      </w:r>
    </w:p>
    <w:p>
      <w:pPr>
        <w:snapToGrid w:val="0"/>
        <w:spacing w:line="600" w:lineRule="exact"/>
        <w:ind w:firstLine="643" w:firstLineChars="200"/>
        <w:rPr>
          <w:rFonts w:ascii="仿宋_GB2312" w:hAnsi="仿宋" w:eastAsia="仿宋_GB2312" w:cs="仿宋"/>
          <w:b/>
          <w:bCs/>
          <w:sz w:val="32"/>
          <w:szCs w:val="32"/>
        </w:rPr>
      </w:pPr>
      <w:r>
        <w:rPr>
          <w:rFonts w:hint="eastAsia" w:ascii="仿宋_GB2312" w:hAnsi="仿宋" w:eastAsia="仿宋_GB2312" w:cs="仿宋"/>
          <w:b/>
          <w:bCs/>
          <w:sz w:val="32"/>
          <w:szCs w:val="32"/>
        </w:rPr>
        <w:t>4、国有资本经营预算草案</w:t>
      </w:r>
    </w:p>
    <w:p>
      <w:pPr>
        <w:snapToGrid w:val="0"/>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国有资本经营预算总收入463万元，其中：利润收入228万元，股利股息收入231万元，上年结转4万元。国有资本经营预算总支出463万元，其中调入公共预算231万元、安排资本金支出232万元。</w:t>
      </w:r>
      <w:r>
        <w:rPr>
          <w:rFonts w:hint="eastAsia" w:ascii="仿宋_GB2312" w:eastAsia="仿宋_GB2312"/>
          <w:sz w:val="32"/>
          <w:szCs w:val="32"/>
        </w:rPr>
        <w:t>收支相抵，预算平衡。</w:t>
      </w:r>
    </w:p>
    <w:p>
      <w:pPr>
        <w:snapToGrid w:val="0"/>
        <w:spacing w:line="600" w:lineRule="exact"/>
        <w:ind w:firstLine="640" w:firstLineChars="200"/>
        <w:rPr>
          <w:rFonts w:ascii="黑体" w:hAnsi="黑体" w:eastAsia="黑体"/>
          <w:sz w:val="32"/>
          <w:szCs w:val="32"/>
        </w:rPr>
      </w:pPr>
      <w:r>
        <w:rPr>
          <w:rFonts w:hint="eastAsia" w:ascii="黑体" w:hAnsi="黑体" w:eastAsia="黑体" w:cs="黑体"/>
          <w:sz w:val="32"/>
          <w:szCs w:val="32"/>
        </w:rPr>
        <w:t>三、</w:t>
      </w:r>
      <w:r>
        <w:rPr>
          <w:rFonts w:hint="eastAsia" w:ascii="黑体" w:hAnsi="黑体" w:eastAsia="黑体"/>
          <w:sz w:val="32"/>
          <w:szCs w:val="32"/>
        </w:rPr>
        <w:t>完成2021年财政预算目标的主要措施</w:t>
      </w:r>
    </w:p>
    <w:p>
      <w:pPr>
        <w:spacing w:line="600" w:lineRule="exact"/>
        <w:ind w:firstLine="640" w:firstLineChars="200"/>
        <w:rPr>
          <w:rFonts w:ascii="仿宋_GB2312" w:hAnsi="仿宋" w:eastAsia="仿宋_GB2312"/>
          <w:sz w:val="32"/>
          <w:szCs w:val="32"/>
        </w:rPr>
      </w:pPr>
      <w:r>
        <w:rPr>
          <w:rFonts w:hint="eastAsia" w:ascii="仿宋_GB2312" w:hAnsi="仿宋" w:eastAsia="仿宋_GB2312" w:cs="Arial"/>
          <w:sz w:val="32"/>
          <w:szCs w:val="32"/>
          <w:shd w:val="clear" w:color="auto" w:fill="FFFFFF"/>
        </w:rPr>
        <w:t>面对全球新冠疫情加剧、</w:t>
      </w:r>
      <w:r>
        <w:rPr>
          <w:rFonts w:hint="eastAsia" w:ascii="仿宋_GB2312" w:hAnsi="仿宋" w:eastAsia="仿宋_GB2312"/>
          <w:sz w:val="32"/>
          <w:szCs w:val="32"/>
        </w:rPr>
        <w:t>中美贸易摩擦升级、国家实施大规模减税降费等复杂局面，</w:t>
      </w:r>
      <w:r>
        <w:rPr>
          <w:rFonts w:hint="eastAsia" w:ascii="仿宋_GB2312" w:hAnsi="仿宋" w:eastAsia="仿宋_GB2312" w:cs="仿宋"/>
          <w:sz w:val="32"/>
          <w:szCs w:val="32"/>
        </w:rPr>
        <w:t>2021年将是我县收支矛盾最突出、日子最艰难的一年。</w:t>
      </w:r>
      <w:r>
        <w:rPr>
          <w:rFonts w:hint="eastAsia" w:ascii="仿宋_GB2312" w:hAnsi="仿宋" w:eastAsia="仿宋_GB2312"/>
          <w:sz w:val="32"/>
          <w:szCs w:val="32"/>
        </w:rPr>
        <w:t>我们将</w:t>
      </w:r>
      <w:r>
        <w:rPr>
          <w:rFonts w:hint="eastAsia" w:ascii="仿宋_GB2312" w:eastAsia="仿宋_GB2312"/>
          <w:sz w:val="32"/>
          <w:szCs w:val="32"/>
        </w:rPr>
        <w:t>按照“坚守底线、突出重点、厉行节约、引导预期”的原则，</w:t>
      </w:r>
      <w:r>
        <w:rPr>
          <w:rFonts w:hint="eastAsia" w:ascii="仿宋_GB2312" w:hAnsi="仿宋" w:eastAsia="仿宋_GB2312"/>
          <w:sz w:val="32"/>
          <w:szCs w:val="32"/>
        </w:rPr>
        <w:t>以培财源、重调控、优结构、增绩效为重点，依法理财、科学管理、负重前行，确保各项收支目标全面完成。</w:t>
      </w:r>
    </w:p>
    <w:p>
      <w:pPr>
        <w:spacing w:line="600" w:lineRule="exact"/>
        <w:ind w:firstLine="640" w:firstLineChars="200"/>
        <w:rPr>
          <w:rFonts w:ascii="仿宋_GB2312" w:eastAsia="仿宋_GB2312"/>
          <w:color w:val="000000"/>
          <w:sz w:val="32"/>
          <w:szCs w:val="32"/>
        </w:rPr>
      </w:pPr>
      <w:r>
        <w:rPr>
          <w:rFonts w:hint="eastAsia" w:ascii="楷体_GB2312" w:hAnsi="楷体" w:eastAsia="楷体_GB2312" w:cs="楷体"/>
          <w:kern w:val="0"/>
          <w:sz w:val="32"/>
          <w:szCs w:val="32"/>
        </w:rPr>
        <w:t>（一）围绕开源增收，着力抓好财源建设。</w:t>
      </w:r>
      <w:r>
        <w:rPr>
          <w:rFonts w:hint="eastAsia" w:ascii="仿宋_GB2312" w:hAnsi="仿宋" w:eastAsia="仿宋_GB2312" w:cs="宋体"/>
          <w:kern w:val="0"/>
          <w:sz w:val="32"/>
          <w:szCs w:val="32"/>
        </w:rPr>
        <w:t>实行</w:t>
      </w:r>
      <w:r>
        <w:rPr>
          <w:rFonts w:hint="eastAsia" w:ascii="仿宋_GB2312" w:hAnsi="仿宋" w:eastAsia="仿宋_GB2312" w:cs="仿宋"/>
          <w:sz w:val="32"/>
          <w:szCs w:val="32"/>
        </w:rPr>
        <w:t>开源与节流并重，既要保吃饭，又要保发展，努力筹集资金确保华新骨料等重点招商引资项目顺利落地</w:t>
      </w:r>
      <w:r>
        <w:rPr>
          <w:rFonts w:hint="eastAsia" w:ascii="仿宋_GB2312" w:eastAsia="仿宋_GB2312"/>
          <w:sz w:val="32"/>
          <w:szCs w:val="32"/>
        </w:rPr>
        <w:t>，集中财力办大事</w:t>
      </w:r>
      <w:r>
        <w:rPr>
          <w:rFonts w:hint="eastAsia" w:ascii="仿宋_GB2312" w:hAnsi="仿宋" w:eastAsia="仿宋_GB2312" w:cs="仿宋"/>
          <w:sz w:val="32"/>
          <w:szCs w:val="32"/>
        </w:rPr>
        <w:t>，促进项目早日达产见效</w:t>
      </w:r>
      <w:r>
        <w:rPr>
          <w:rFonts w:hint="eastAsia" w:ascii="仿宋_GB2312" w:eastAsia="仿宋_GB2312"/>
          <w:sz w:val="32"/>
          <w:szCs w:val="32"/>
        </w:rPr>
        <w:t>。探索政府招商引资政策兑现新方式，发挥财政资金“四两拨千斤”的引导作用和倍数效应，拓展招商引资项目落地筹资渠道，支持引进有实力、有科技、有市场的项目企业，有效化解招商落地难、落地慢的问题。充分运用政府专项债券，支持九里生态工业园区提档升级，通过优化园区布局和调区扩区，着力增强园区的产业聚集效应。强化涉税信息的即时交换，</w:t>
      </w:r>
      <w:r>
        <w:rPr>
          <w:rFonts w:hint="eastAsia" w:ascii="仿宋_GB2312" w:eastAsia="仿宋_GB2312"/>
          <w:color w:val="000000" w:themeColor="text1"/>
          <w:sz w:val="32"/>
          <w:szCs w:val="32"/>
          <w14:textFill>
            <w14:solidFill>
              <w14:schemeClr w14:val="tx1"/>
            </w14:solidFill>
          </w14:textFill>
        </w:rPr>
        <w:t>建强</w:t>
      </w:r>
      <w:r>
        <w:rPr>
          <w:rFonts w:hint="eastAsia" w:ascii="仿宋_GB2312" w:eastAsia="仿宋_GB2312"/>
          <w:sz w:val="32"/>
          <w:szCs w:val="32"/>
        </w:rPr>
        <w:t>护税协税联席会议和考核机制，加</w:t>
      </w:r>
      <w:r>
        <w:rPr>
          <w:rFonts w:hint="eastAsia" w:ascii="仿宋_GB2312" w:eastAsia="仿宋_GB2312"/>
          <w:color w:val="000000"/>
          <w:sz w:val="32"/>
          <w:szCs w:val="32"/>
        </w:rPr>
        <w:t>强砂石资源、建安工程等重点领域的税源监控，做到依法征收、应收尽收。实施“招财引税”工程，积极争取百丽鞋业和AB服饰总部支持，提升秭归产品的附加值，提高在秭税收的贡献度;积极支持工农中建等行、国家电网、中国石化等央企、省企在秭机构，培育和争取税收倾斜秭归，不断做大、做强、做实总部税收。</w:t>
      </w:r>
    </w:p>
    <w:p>
      <w:pPr>
        <w:widowControl/>
        <w:spacing w:line="600" w:lineRule="exact"/>
        <w:ind w:firstLine="640" w:firstLineChars="200"/>
        <w:rPr>
          <w:rFonts w:ascii="仿宋_GB2312" w:hAnsi="仿宋" w:eastAsia="仿宋_GB2312" w:cs="宋体"/>
          <w:kern w:val="0"/>
          <w:sz w:val="32"/>
          <w:szCs w:val="32"/>
        </w:rPr>
      </w:pPr>
      <w:r>
        <w:rPr>
          <w:rFonts w:hint="eastAsia" w:ascii="楷体_GB2312" w:hAnsi="楷体" w:eastAsia="楷体_GB2312" w:cs="楷体"/>
          <w:kern w:val="0"/>
          <w:sz w:val="32"/>
          <w:szCs w:val="32"/>
        </w:rPr>
        <w:t>（二）围绕厉行节约，着力抓好预算执行。</w:t>
      </w:r>
      <w:r>
        <w:rPr>
          <w:rFonts w:hint="eastAsia" w:ascii="仿宋_GB2312" w:hAnsi="仿宋" w:eastAsia="仿宋_GB2312" w:cs="宋体"/>
          <w:kern w:val="0"/>
          <w:sz w:val="32"/>
          <w:szCs w:val="32"/>
        </w:rPr>
        <w:t>全面贯彻县委、县政府关于过“紧日子”的要求，</w:t>
      </w:r>
      <w:r>
        <w:rPr>
          <w:rFonts w:hint="eastAsia" w:ascii="仿宋_GB2312" w:hAnsi="仿宋" w:eastAsia="仿宋_GB2312" w:cs="仿宋"/>
          <w:sz w:val="32"/>
          <w:szCs w:val="32"/>
        </w:rPr>
        <w:t>把要求贯穿预算执行的全过程，</w:t>
      </w:r>
      <w:r>
        <w:rPr>
          <w:rFonts w:hint="eastAsia" w:ascii="仿宋_GB2312" w:hAnsi="仿宋" w:eastAsia="仿宋_GB2312" w:cs="宋体"/>
          <w:kern w:val="0"/>
          <w:sz w:val="32"/>
          <w:szCs w:val="32"/>
        </w:rPr>
        <w:t>全力压缩</w:t>
      </w:r>
      <w:r>
        <w:rPr>
          <w:rFonts w:hint="eastAsia" w:ascii="仿宋_GB2312" w:hAnsi="仿宋" w:eastAsia="仿宋_GB2312" w:cs="仿宋"/>
          <w:sz w:val="32"/>
          <w:szCs w:val="32"/>
        </w:rPr>
        <w:t>一切非刚性、非重点、非必须的支出，把钱用在刀刃上。与时俱进修订和</w:t>
      </w:r>
      <w:r>
        <w:rPr>
          <w:rFonts w:hint="eastAsia" w:ascii="仿宋_GB2312" w:hAnsi="仿宋" w:eastAsia="仿宋_GB2312" w:cs="宋体"/>
          <w:kern w:val="0"/>
          <w:sz w:val="32"/>
          <w:szCs w:val="32"/>
        </w:rPr>
        <w:t>完善接待费、差旅费和会议费等管理办法，探索试行县内出差无票化定额包干制度，会同纪委监委、审计开展专项检查，切实杜绝“餐桌”和“车轮”上的浪费。</w:t>
      </w:r>
      <w:r>
        <w:rPr>
          <w:rFonts w:hint="eastAsia" w:ascii="仿宋_GB2312" w:hAnsi="仿宋_GB2312" w:eastAsia="仿宋_GB2312" w:cs="仿宋_GB2312"/>
          <w:sz w:val="32"/>
          <w:szCs w:val="32"/>
        </w:rPr>
        <w:t>牢固树立“无预算不支出、先预算后支出”理念，</w:t>
      </w:r>
      <w:r>
        <w:rPr>
          <w:rFonts w:hint="eastAsia" w:ascii="仿宋_GB2312" w:hAnsi="仿宋" w:eastAsia="仿宋_GB2312" w:cs="宋体"/>
          <w:kern w:val="0"/>
          <w:sz w:val="32"/>
          <w:szCs w:val="32"/>
        </w:rPr>
        <w:t>严格基本支出序时进度和项目资金进度拨款，多种措施督促预算执行进度，切实</w:t>
      </w:r>
      <w:r>
        <w:rPr>
          <w:rFonts w:hint="eastAsia" w:ascii="仿宋_GB2312" w:hAnsi="仿宋" w:eastAsia="仿宋_GB2312" w:cs="仿宋"/>
          <w:sz w:val="32"/>
          <w:szCs w:val="32"/>
        </w:rPr>
        <w:t>解决财政资金的“趴窝”问题。</w:t>
      </w:r>
    </w:p>
    <w:p>
      <w:pPr>
        <w:spacing w:line="600" w:lineRule="exact"/>
        <w:ind w:firstLine="640" w:firstLineChars="200"/>
        <w:rPr>
          <w:rFonts w:ascii="仿宋_GB2312" w:hAnsi="仿宋" w:eastAsia="仿宋_GB2312" w:cs="宋体"/>
          <w:kern w:val="0"/>
          <w:sz w:val="32"/>
          <w:szCs w:val="32"/>
        </w:rPr>
      </w:pPr>
      <w:r>
        <w:rPr>
          <w:rFonts w:hint="eastAsia" w:ascii="楷体_GB2312" w:hAnsi="楷体" w:eastAsia="楷体_GB2312" w:cs="楷体"/>
          <w:sz w:val="32"/>
          <w:szCs w:val="32"/>
        </w:rPr>
        <w:t>（三）围绕疫后重振，</w:t>
      </w:r>
      <w:r>
        <w:rPr>
          <w:rFonts w:hint="eastAsia" w:ascii="楷体_GB2312" w:hAnsi="楷体" w:eastAsia="楷体_GB2312" w:cs="楷体"/>
          <w:kern w:val="0"/>
          <w:sz w:val="32"/>
          <w:szCs w:val="32"/>
        </w:rPr>
        <w:t>着力抓好对上争取</w:t>
      </w:r>
      <w:r>
        <w:rPr>
          <w:rFonts w:hint="eastAsia" w:ascii="仿宋_GB2312" w:hAnsi="楷体" w:eastAsia="仿宋_GB2312" w:cs="楷体"/>
          <w:kern w:val="0"/>
          <w:sz w:val="32"/>
          <w:szCs w:val="32"/>
        </w:rPr>
        <w:t>。</w:t>
      </w:r>
      <w:r>
        <w:rPr>
          <w:rFonts w:hint="eastAsia" w:ascii="仿宋_GB2312" w:hAnsi="仿宋" w:eastAsia="仿宋_GB2312" w:cs="宋体"/>
          <w:kern w:val="0"/>
          <w:sz w:val="32"/>
          <w:szCs w:val="32"/>
        </w:rPr>
        <w:t>进一步优化完善对上争取的考核和激励机制，制定争取目标，分解争取任务，落实争取责任，加大横向对比和纵向占比在争取考核中的权重，提升争取成效。紧紧抓住</w:t>
      </w:r>
      <w:r>
        <w:rPr>
          <w:rFonts w:hint="eastAsia" w:ascii="仿宋_GB2312" w:hAnsi="仿宋" w:eastAsia="仿宋_GB2312" w:cs="仿宋"/>
          <w:sz w:val="32"/>
          <w:szCs w:val="32"/>
        </w:rPr>
        <w:t>中央支持湖北</w:t>
      </w:r>
      <w:r>
        <w:rPr>
          <w:rFonts w:hint="eastAsia" w:ascii="仿宋_GB2312" w:eastAsia="仿宋_GB2312"/>
          <w:sz w:val="32"/>
          <w:szCs w:val="32"/>
        </w:rPr>
        <w:t>疫后重振的一揽子政策</w:t>
      </w:r>
      <w:r>
        <w:rPr>
          <w:rFonts w:hint="eastAsia" w:ascii="仿宋_GB2312" w:hAnsi="仿宋" w:eastAsia="仿宋_GB2312" w:cs="仿宋"/>
          <w:sz w:val="32"/>
          <w:szCs w:val="32"/>
        </w:rPr>
        <w:t xml:space="preserve"> “窗口期”，积极对接湖北补短板“十大工程”，争取更多重点项目落户秭归。</w:t>
      </w:r>
      <w:r>
        <w:rPr>
          <w:rFonts w:hint="eastAsia" w:ascii="仿宋_GB2312" w:eastAsia="仿宋_GB2312"/>
          <w:sz w:val="32"/>
          <w:szCs w:val="32"/>
        </w:rPr>
        <w:t>充分利用巩固脱贫成果与乡村振兴、</w:t>
      </w:r>
      <w:r>
        <w:rPr>
          <w:rFonts w:hint="eastAsia" w:ascii="仿宋_GB2312" w:hAnsi="仿宋" w:eastAsia="仿宋_GB2312"/>
          <w:sz w:val="32"/>
          <w:szCs w:val="32"/>
        </w:rPr>
        <w:t>武陵山片区区域发展、三峡后续规划等政策机遇，做好项目谋划，争取更大份额，抓好现实财力的争取，</w:t>
      </w:r>
      <w:r>
        <w:rPr>
          <w:rFonts w:hint="eastAsia" w:ascii="仿宋_GB2312" w:eastAsia="仿宋_GB2312"/>
          <w:sz w:val="32"/>
          <w:szCs w:val="32"/>
        </w:rPr>
        <w:t>弥补本级财政困难。</w:t>
      </w:r>
    </w:p>
    <w:p>
      <w:pPr>
        <w:widowControl/>
        <w:spacing w:line="600" w:lineRule="exact"/>
        <w:ind w:firstLine="640" w:firstLineChars="200"/>
        <w:rPr>
          <w:rFonts w:ascii="仿宋_GB2312" w:hAnsi="仿宋" w:eastAsia="仿宋_GB2312" w:cs="仿宋"/>
          <w:kern w:val="0"/>
          <w:sz w:val="32"/>
          <w:szCs w:val="32"/>
        </w:rPr>
      </w:pPr>
      <w:r>
        <w:rPr>
          <w:rFonts w:hint="eastAsia" w:ascii="楷体_GB2312" w:hAnsi="楷体" w:eastAsia="楷体_GB2312" w:cs="楷体"/>
          <w:kern w:val="0"/>
          <w:sz w:val="32"/>
          <w:szCs w:val="32"/>
        </w:rPr>
        <w:t>（四）围绕统筹整合，着力抓好财政绩效。</w:t>
      </w:r>
      <w:r>
        <w:rPr>
          <w:rFonts w:hint="eastAsia" w:ascii="仿宋_GB2312" w:hAnsi="楷体" w:eastAsia="仿宋_GB2312" w:cs="楷体"/>
          <w:kern w:val="0"/>
          <w:sz w:val="32"/>
          <w:szCs w:val="32"/>
        </w:rPr>
        <w:t>一是加大一般公共预算与其它三本预算、本级预算与上级专款、预算资金与非税收入、新增财力和存量资金之间的统筹衔接，解决好条块分割和资金零散的问题，提升预算统筹能力。二是</w:t>
      </w:r>
      <w:r>
        <w:rPr>
          <w:rFonts w:hint="eastAsia" w:ascii="仿宋_GB2312" w:hAnsi="仿宋" w:eastAsia="仿宋_GB2312" w:cs="宋体"/>
          <w:kern w:val="0"/>
          <w:sz w:val="32"/>
          <w:szCs w:val="32"/>
        </w:rPr>
        <w:t>全面实施零基预算，</w:t>
      </w:r>
      <w:r>
        <w:rPr>
          <w:rFonts w:hint="eastAsia" w:ascii="仿宋_GB2312" w:hAnsi="楷体" w:eastAsia="仿宋_GB2312" w:cs="楷体"/>
          <w:kern w:val="0"/>
          <w:sz w:val="32"/>
          <w:szCs w:val="32"/>
        </w:rPr>
        <w:t>除扶贫、教育等重点领域外，取消一切与财政收入相挂钩的支出政策，</w:t>
      </w:r>
      <w:r>
        <w:rPr>
          <w:rFonts w:hint="eastAsia" w:ascii="仿宋_GB2312" w:hAnsi="仿宋" w:eastAsia="仿宋_GB2312" w:cs="宋体"/>
          <w:kern w:val="0"/>
          <w:sz w:val="32"/>
          <w:szCs w:val="32"/>
        </w:rPr>
        <w:t>彻底打破支出固化的顽疾，不断优化支出结构。三是</w:t>
      </w:r>
      <w:r>
        <w:rPr>
          <w:rFonts w:hint="eastAsia" w:ascii="仿宋_GB2312" w:hAnsi="仿宋" w:eastAsia="仿宋_GB2312" w:cs="仿宋"/>
          <w:kern w:val="0"/>
          <w:sz w:val="32"/>
          <w:szCs w:val="32"/>
        </w:rPr>
        <w:t>坚持“应统尽统”原则，强力推进财政专项资金的统筹整合，稳定统筹规模，突出整合成效，</w:t>
      </w:r>
      <w:r>
        <w:rPr>
          <w:rFonts w:hint="eastAsia" w:ascii="仿宋_GB2312" w:hAnsi="仿宋" w:eastAsia="仿宋_GB2312" w:cs="仿宋"/>
          <w:sz w:val="32"/>
          <w:szCs w:val="32"/>
          <w:shd w:val="clear" w:color="auto" w:fill="FFFFFF"/>
        </w:rPr>
        <w:t>打破部门藩蓠格局，增强政府调控能力。四是</w:t>
      </w:r>
      <w:r>
        <w:rPr>
          <w:rFonts w:hint="eastAsia" w:ascii="仿宋_GB2312" w:hAnsi="仿宋" w:eastAsia="仿宋_GB2312"/>
          <w:sz w:val="32"/>
          <w:szCs w:val="32"/>
        </w:rPr>
        <w:t>全面落实</w:t>
      </w:r>
      <w:r>
        <w:rPr>
          <w:rFonts w:hint="eastAsia" w:ascii="仿宋_GB2312" w:hAnsi="仿宋" w:eastAsia="仿宋_GB2312"/>
          <w:color w:val="000000" w:themeColor="text1"/>
          <w:sz w:val="32"/>
          <w:szCs w:val="32"/>
          <w14:textFill>
            <w14:solidFill>
              <w14:schemeClr w14:val="tx1"/>
            </w14:solidFill>
          </w14:textFill>
        </w:rPr>
        <w:t>《中共中央、国务院关</w:t>
      </w:r>
      <w:r>
        <w:rPr>
          <w:rFonts w:hint="eastAsia" w:ascii="仿宋_GB2312" w:hAnsi="仿宋" w:eastAsia="仿宋_GB2312"/>
          <w:sz w:val="32"/>
          <w:szCs w:val="32"/>
        </w:rPr>
        <w:t>于全面实施预算绩效管理的意见》，</w:t>
      </w:r>
      <w:r>
        <w:rPr>
          <w:rFonts w:hint="eastAsia" w:ascii="仿宋_GB2312" w:hAnsi="仿宋_GB2312" w:eastAsia="仿宋_GB2312" w:cs="仿宋_GB2312"/>
          <w:sz w:val="32"/>
          <w:szCs w:val="32"/>
        </w:rPr>
        <w:t>完善“花钱必问效、无效必问责”的预算惩戒机制，</w:t>
      </w:r>
      <w:r>
        <w:rPr>
          <w:rFonts w:hint="eastAsia" w:ascii="仿宋_GB2312" w:hAnsi="仿宋" w:eastAsia="仿宋_GB2312" w:cs="宋体"/>
          <w:kern w:val="0"/>
          <w:sz w:val="32"/>
          <w:szCs w:val="32"/>
        </w:rPr>
        <w:t>提高绩效结果在预算管理中的运用力度，解决好财政资金效率低下的问题，提升财政资金使用绩效</w:t>
      </w:r>
      <w:r>
        <w:rPr>
          <w:rFonts w:hint="eastAsia" w:ascii="仿宋_GB2312" w:hAnsi="仿宋" w:eastAsia="仿宋_GB2312" w:cs="仿宋"/>
          <w:kern w:val="0"/>
          <w:sz w:val="32"/>
          <w:szCs w:val="32"/>
        </w:rPr>
        <w:t>。</w:t>
      </w:r>
    </w:p>
    <w:p>
      <w:pPr>
        <w:widowControl/>
        <w:spacing w:line="60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各位代表，2021年的财政工作任务艰巨、责任重大，我们将在县委、县政府的正确领导下，在县人大和县政协的监督支持下，全力做好“六稳”工作，全面落实“六保”任务，发扬为民服务孺子牛、创新发展拓荒牛、艰苦奋斗老黄牛的精神，进一步坚定信心、真抓实干，以高质量的年度预算助力秭归疫后重振和经济社会高质量发展，为“十四五”开好局、起好步，以优异的成绩向建党一百周年交上满意答卷。</w:t>
      </w:r>
    </w:p>
    <w:p>
      <w:pPr>
        <w:spacing w:line="600" w:lineRule="exact"/>
        <w:ind w:firstLine="640" w:firstLineChars="200"/>
        <w:rPr>
          <w:rFonts w:ascii="仿宋_GB2312" w:hAnsi="仿宋" w:eastAsia="仿宋_GB2312" w:cs="仿宋"/>
          <w:sz w:val="32"/>
          <w:szCs w:val="32"/>
        </w:rPr>
      </w:pPr>
    </w:p>
    <w:p>
      <w:pPr>
        <w:spacing w:line="600" w:lineRule="exact"/>
        <w:ind w:firstLine="640" w:firstLineChars="200"/>
        <w:rPr>
          <w:rFonts w:ascii="仿宋_GB2312" w:hAnsi="仿宋" w:eastAsia="仿宋_GB2312" w:cs="仿宋"/>
          <w:sz w:val="32"/>
          <w:szCs w:val="32"/>
        </w:rPr>
      </w:pP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附件：1.名词解释</w:t>
      </w:r>
    </w:p>
    <w:p>
      <w:pPr>
        <w:spacing w:line="600" w:lineRule="exact"/>
        <w:ind w:firstLine="1600" w:firstLineChars="500"/>
        <w:rPr>
          <w:rFonts w:ascii="仿宋_GB2312" w:hAnsi="仿宋" w:eastAsia="仿宋_GB2312" w:cs="仿宋"/>
          <w:sz w:val="32"/>
          <w:szCs w:val="32"/>
        </w:rPr>
      </w:pPr>
      <w:r>
        <w:rPr>
          <w:rFonts w:hint="eastAsia" w:ascii="仿宋_GB2312" w:hAnsi="仿宋" w:eastAsia="仿宋_GB2312" w:cs="仿宋"/>
          <w:sz w:val="32"/>
          <w:szCs w:val="32"/>
        </w:rPr>
        <w:t>2.2020年财政预算执行情况表</w:t>
      </w:r>
    </w:p>
    <w:p>
      <w:pPr>
        <w:spacing w:line="600" w:lineRule="exact"/>
        <w:ind w:firstLine="1600" w:firstLineChars="500"/>
        <w:rPr>
          <w:rFonts w:ascii="仿宋_GB2312" w:hAnsi="仿宋" w:eastAsia="仿宋_GB2312" w:cs="仿宋"/>
          <w:sz w:val="32"/>
          <w:szCs w:val="32"/>
        </w:rPr>
      </w:pPr>
      <w:r>
        <w:rPr>
          <w:rFonts w:hint="eastAsia" w:ascii="仿宋_GB2312" w:hAnsi="仿宋" w:eastAsia="仿宋_GB2312" w:cs="仿宋"/>
          <w:sz w:val="32"/>
          <w:szCs w:val="32"/>
        </w:rPr>
        <w:t>3.2021年财政预算草案计划表</w:t>
      </w:r>
    </w:p>
    <w:p>
      <w:pPr>
        <w:pStyle w:val="2"/>
      </w:pPr>
    </w:p>
    <w:p>
      <w:pPr>
        <w:spacing w:line="600" w:lineRule="exact"/>
        <w:rPr>
          <w:rFonts w:ascii="方正小标宋简体" w:hAnsi="方正小标宋简体" w:eastAsia="方正小标宋简体" w:cs="方正小标宋简体"/>
          <w:kern w:val="0"/>
          <w:sz w:val="36"/>
          <w:szCs w:val="36"/>
        </w:rPr>
      </w:pPr>
    </w:p>
    <w:p>
      <w:pPr>
        <w:spacing w:line="600" w:lineRule="exact"/>
        <w:rPr>
          <w:rFonts w:ascii="方正小标宋简体" w:hAnsi="方正小标宋简体" w:eastAsia="方正小标宋简体" w:cs="方正小标宋简体"/>
          <w:kern w:val="0"/>
          <w:sz w:val="36"/>
          <w:szCs w:val="36"/>
        </w:rPr>
      </w:pPr>
    </w:p>
    <w:p>
      <w:pPr>
        <w:spacing w:line="600" w:lineRule="exact"/>
        <w:rPr>
          <w:rFonts w:ascii="方正小标宋简体" w:hAnsi="方正小标宋简体" w:eastAsia="方正小标宋简体" w:cs="方正小标宋简体"/>
          <w:kern w:val="0"/>
          <w:sz w:val="36"/>
          <w:szCs w:val="36"/>
        </w:rPr>
      </w:pPr>
    </w:p>
    <w:p>
      <w:pPr>
        <w:spacing w:line="600" w:lineRule="exact"/>
        <w:rPr>
          <w:rFonts w:ascii="方正小标宋简体" w:hAnsi="方正小标宋简体" w:eastAsia="方正小标宋简体" w:cs="方正小标宋简体"/>
          <w:kern w:val="0"/>
          <w:sz w:val="36"/>
          <w:szCs w:val="36"/>
        </w:rPr>
      </w:pPr>
    </w:p>
    <w:p>
      <w:pPr>
        <w:spacing w:line="600" w:lineRule="exact"/>
        <w:rPr>
          <w:rFonts w:ascii="方正小标宋简体" w:hAnsi="方正小标宋简体" w:eastAsia="方正小标宋简体" w:cs="方正小标宋简体"/>
          <w:kern w:val="0"/>
          <w:sz w:val="36"/>
          <w:szCs w:val="36"/>
        </w:rPr>
      </w:pPr>
    </w:p>
    <w:p>
      <w:pPr>
        <w:spacing w:line="600" w:lineRule="exact"/>
        <w:rPr>
          <w:rFonts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 xml:space="preserve">附件1           </w:t>
      </w:r>
    </w:p>
    <w:p>
      <w:pPr>
        <w:spacing w:line="600" w:lineRule="exact"/>
        <w:jc w:val="center"/>
        <w:rPr>
          <w:rFonts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名 词 解 释</w:t>
      </w:r>
    </w:p>
    <w:p>
      <w:pPr>
        <w:widowControl/>
        <w:shd w:val="clear" w:color="auto" w:fill="FFFFFF"/>
        <w:spacing w:line="600" w:lineRule="exact"/>
        <w:ind w:firstLine="640" w:firstLineChars="200"/>
        <w:jc w:val="left"/>
        <w:rPr>
          <w:rFonts w:ascii="仿宋_GB2312" w:hAnsi="仿宋" w:eastAsia="仿宋_GB2312" w:cs="仿宋"/>
          <w:kern w:val="0"/>
          <w:sz w:val="32"/>
          <w:szCs w:val="32"/>
        </w:rPr>
      </w:pPr>
      <w:r>
        <w:rPr>
          <w:rFonts w:hint="eastAsia" w:ascii="仿宋_GB2312" w:hAnsi="仿宋" w:eastAsia="仿宋_GB2312" w:cs="仿宋"/>
          <w:kern w:val="0"/>
          <w:sz w:val="32"/>
          <w:szCs w:val="32"/>
        </w:rPr>
        <w:t>1.全口径预算管理。指将全部政府收支纳入预算，并接受与其性质相适应的管理和监督，使政府预算做到体系完整、结构清晰、权责匹配、公开透明。其基本内容包括：一是所有政府收支应当纳入预算；二是预算体系包括一般公共预算、政府性基金预算、国有资本经营预算和社会保险基金预算。</w:t>
      </w:r>
    </w:p>
    <w:p>
      <w:pPr>
        <w:widowControl/>
        <w:shd w:val="clear" w:color="auto" w:fill="FFFFFF"/>
        <w:spacing w:line="600" w:lineRule="exact"/>
        <w:ind w:firstLine="640" w:firstLineChars="200"/>
        <w:jc w:val="left"/>
        <w:rPr>
          <w:rFonts w:ascii="仿宋_GB2312" w:hAnsi="仿宋" w:eastAsia="仿宋_GB2312" w:cs="仿宋"/>
          <w:kern w:val="0"/>
          <w:sz w:val="32"/>
          <w:szCs w:val="32"/>
        </w:rPr>
      </w:pPr>
      <w:r>
        <w:rPr>
          <w:rFonts w:hint="eastAsia" w:ascii="仿宋_GB2312" w:hAnsi="仿宋" w:eastAsia="仿宋_GB2312" w:cs="仿宋"/>
          <w:kern w:val="0"/>
          <w:sz w:val="32"/>
          <w:szCs w:val="32"/>
        </w:rPr>
        <w:t>2.一般公共预算。指政府凭借国家政治权力，以社会管理者身份筹集以税收为主体的财政收入，用于保障和改善民生、维持国家行政职能正常行使、保障国家安全等方面的收支预算。</w:t>
      </w:r>
    </w:p>
    <w:p>
      <w:pPr>
        <w:widowControl/>
        <w:shd w:val="clear" w:color="auto" w:fill="FFFFFF"/>
        <w:spacing w:line="600" w:lineRule="exact"/>
        <w:ind w:firstLine="640" w:firstLineChars="200"/>
        <w:jc w:val="left"/>
        <w:rPr>
          <w:rFonts w:ascii="仿宋_GB2312" w:hAnsi="仿宋" w:eastAsia="仿宋_GB2312" w:cs="仿宋"/>
          <w:kern w:val="0"/>
          <w:sz w:val="32"/>
          <w:szCs w:val="32"/>
        </w:rPr>
      </w:pPr>
      <w:r>
        <w:rPr>
          <w:rFonts w:hint="eastAsia" w:ascii="仿宋_GB2312" w:hAnsi="仿宋" w:eastAsia="仿宋_GB2312" w:cs="仿宋"/>
          <w:kern w:val="0"/>
          <w:sz w:val="32"/>
          <w:szCs w:val="32"/>
        </w:rPr>
        <w:t>3.政府性基金预算。指政府通过向社会征收基金、收费，以及出让土地、发行彩票等方式取得收入，专项用于支持特定基础设施建设和社会事业发展等方面的收支预算。</w:t>
      </w:r>
    </w:p>
    <w:p>
      <w:pPr>
        <w:widowControl/>
        <w:shd w:val="clear" w:color="auto" w:fill="FFFFFF"/>
        <w:spacing w:line="600" w:lineRule="exact"/>
        <w:ind w:firstLine="600"/>
        <w:jc w:val="left"/>
        <w:rPr>
          <w:rFonts w:ascii="仿宋_GB2312" w:hAnsi="仿宋" w:eastAsia="仿宋_GB2312" w:cs="仿宋"/>
          <w:kern w:val="0"/>
          <w:sz w:val="32"/>
          <w:szCs w:val="32"/>
        </w:rPr>
      </w:pPr>
      <w:r>
        <w:rPr>
          <w:rFonts w:hint="eastAsia" w:ascii="仿宋_GB2312" w:hAnsi="仿宋" w:eastAsia="仿宋_GB2312" w:cs="仿宋"/>
          <w:kern w:val="0"/>
          <w:sz w:val="32"/>
          <w:szCs w:val="32"/>
        </w:rPr>
        <w:t>4.国有资本经营预算。指国家以所有者身份依法取得国有资本经营收益，并对所得收益进行分配而发生的收支预算。</w:t>
      </w:r>
    </w:p>
    <w:p>
      <w:pPr>
        <w:widowControl/>
        <w:shd w:val="clear" w:color="auto" w:fill="FFFFFF"/>
        <w:spacing w:line="600" w:lineRule="exact"/>
        <w:ind w:firstLine="600"/>
        <w:jc w:val="left"/>
        <w:rPr>
          <w:rFonts w:ascii="仿宋_GB2312" w:hAnsi="仿宋" w:eastAsia="仿宋_GB2312" w:cs="仿宋"/>
          <w:kern w:val="0"/>
          <w:sz w:val="32"/>
          <w:szCs w:val="32"/>
        </w:rPr>
      </w:pPr>
      <w:r>
        <w:rPr>
          <w:rFonts w:hint="eastAsia" w:ascii="仿宋_GB2312" w:hAnsi="仿宋" w:eastAsia="仿宋_GB2312" w:cs="仿宋"/>
          <w:kern w:val="0"/>
          <w:sz w:val="32"/>
          <w:szCs w:val="32"/>
        </w:rPr>
        <w:t>5.社会保险基金预算。指根据国家社会保险和预算管理法律法规建立，反映各项社会保险基金收支的年度计划。</w:t>
      </w:r>
    </w:p>
    <w:p>
      <w:pPr>
        <w:widowControl/>
        <w:shd w:val="clear" w:color="auto" w:fill="FFFFFF"/>
        <w:spacing w:line="600" w:lineRule="exact"/>
        <w:ind w:firstLine="600"/>
        <w:jc w:val="left"/>
        <w:rPr>
          <w:rFonts w:ascii="仿宋_GB2312" w:hAnsi="仿宋" w:eastAsia="仿宋_GB2312" w:cs="仿宋"/>
          <w:kern w:val="0"/>
          <w:sz w:val="32"/>
          <w:szCs w:val="32"/>
        </w:rPr>
      </w:pPr>
      <w:r>
        <w:rPr>
          <w:rFonts w:hint="eastAsia" w:ascii="仿宋_GB2312" w:hAnsi="仿宋" w:eastAsia="仿宋_GB2312" w:cs="仿宋"/>
          <w:kern w:val="0"/>
          <w:sz w:val="32"/>
          <w:szCs w:val="32"/>
        </w:rPr>
        <w:t>6.预算绩效管理。预算绩效是指预算资金所达到的产出和结果。预算绩效管理是政府绩效管理的重要组成部分，是一种以支出结果为导向的预算管理模式。它强化政府预算为民服务的理念，强调预算支出的责任和效率，要求在预算编制、执行、监督的全过程中更加关注预算资金的产出和结果。推进预算绩效管理，有利于提升预算管理水平、增强单位支出责任、提高公共服务质量、优化公共资源配置、节约公共支出成本。</w:t>
      </w:r>
    </w:p>
    <w:p>
      <w:pPr>
        <w:widowControl/>
        <w:shd w:val="clear" w:color="auto" w:fill="FFFFFF"/>
        <w:spacing w:line="600" w:lineRule="exact"/>
        <w:jc w:val="left"/>
        <w:rPr>
          <w:rFonts w:ascii="仿宋_GB2312" w:hAnsi="仿宋" w:eastAsia="仿宋_GB2312" w:cs="仿宋"/>
          <w:kern w:val="0"/>
          <w:sz w:val="32"/>
          <w:szCs w:val="32"/>
        </w:rPr>
      </w:pPr>
      <w:r>
        <w:rPr>
          <w:rFonts w:hint="eastAsia" w:ascii="仿宋_GB2312" w:hAnsi="仿宋" w:eastAsia="仿宋_GB2312" w:cs="仿宋"/>
          <w:kern w:val="0"/>
          <w:sz w:val="32"/>
          <w:szCs w:val="32"/>
        </w:rPr>
        <w:t>　　7.财政结转结余资金。财政结转资金，是指当年支出预算已执行但尚未完成，或因故未执行，下年需按原用途继续使用的财政拨款资金。财政结余资金，是指支出预算工作目标已完成，或由于受政策变化、计划调整等因素影响工作终止，当年剩余的财政拨款资金。</w:t>
      </w:r>
    </w:p>
    <w:p>
      <w:pPr>
        <w:widowControl/>
        <w:shd w:val="clear" w:color="auto" w:fill="FFFFFF"/>
        <w:spacing w:line="600" w:lineRule="exact"/>
        <w:ind w:firstLine="600"/>
        <w:jc w:val="left"/>
        <w:rPr>
          <w:rFonts w:ascii="仿宋_GB2312" w:hAnsi="仿宋" w:eastAsia="仿宋_GB2312" w:cs="仿宋"/>
          <w:kern w:val="0"/>
          <w:sz w:val="32"/>
          <w:szCs w:val="32"/>
        </w:rPr>
      </w:pPr>
      <w:r>
        <w:rPr>
          <w:rFonts w:hint="eastAsia" w:ascii="仿宋_GB2312" w:hAnsi="仿宋" w:eastAsia="仿宋_GB2312" w:cs="仿宋"/>
          <w:kern w:val="0"/>
          <w:sz w:val="32"/>
          <w:szCs w:val="32"/>
        </w:rPr>
        <w:t>8.民生支出。指财政支出中用于保障和改善民生方面的支出。包括教育、科学技术、文化体育与传媒、社会保障和就业、医疗卫生与计划生育、节能环保、城乡社区、农林水、交通运输、商业服务业等、国土海洋气象等、住房保障、粮油物资储备等支出科目的总和，不包括一般公共服务、公共安全、资源勘探信息等、金融监管、其他支出等支出科目。</w:t>
      </w:r>
    </w:p>
    <w:p>
      <w:pPr>
        <w:widowControl/>
        <w:shd w:val="clear" w:color="auto" w:fill="FFFFFF"/>
        <w:spacing w:line="600" w:lineRule="exact"/>
        <w:jc w:val="left"/>
        <w:rPr>
          <w:rFonts w:ascii="仿宋_GB2312" w:hAnsi="仿宋" w:eastAsia="仿宋_GB2312" w:cs="仿宋"/>
          <w:kern w:val="0"/>
          <w:sz w:val="32"/>
          <w:szCs w:val="32"/>
        </w:rPr>
      </w:pPr>
      <w:r>
        <w:rPr>
          <w:rFonts w:hint="eastAsia" w:ascii="仿宋_GB2312" w:hAnsi="仿宋" w:eastAsia="仿宋_GB2312" w:cs="仿宋"/>
          <w:kern w:val="0"/>
          <w:sz w:val="32"/>
          <w:szCs w:val="32"/>
        </w:rPr>
        <w:t>　　9.政府采购。指各级机关事业单位和团体组织，使用财政性资金购买依法制定的集中采购目录以内或采购限额标准以上的货物、工程和服务的行为。它不仅是指具体的采购过程，也是一种公共采购管理制度。</w:t>
      </w:r>
    </w:p>
    <w:p>
      <w:pPr>
        <w:widowControl/>
        <w:shd w:val="clear" w:color="auto" w:fill="FFFFFF"/>
        <w:spacing w:line="600" w:lineRule="exact"/>
        <w:ind w:firstLine="600"/>
        <w:jc w:val="left"/>
        <w:rPr>
          <w:rFonts w:ascii="仿宋_GB2312" w:hAnsi="仿宋" w:eastAsia="仿宋_GB2312" w:cs="仿宋"/>
          <w:kern w:val="0"/>
          <w:sz w:val="32"/>
          <w:szCs w:val="32"/>
        </w:rPr>
      </w:pPr>
      <w:r>
        <w:rPr>
          <w:rFonts w:hint="eastAsia" w:ascii="仿宋_GB2312" w:hAnsi="仿宋" w:eastAsia="仿宋_GB2312" w:cs="仿宋"/>
          <w:kern w:val="0"/>
          <w:sz w:val="32"/>
          <w:szCs w:val="32"/>
        </w:rPr>
        <w:t>10.财政投资评审。财政投资评审是财政职能的重要组成部分，是强化财政支出预算管理的重要环节。通过运用专业技术评审手段，对使用财政资金的基本建设项目和专项支出的必要性、可行性、合理性及资金来源等方面进行评审论证，对不合规行为实施监督，避免财政资金支出的盲目性和随意性，从而提高财政资金使用效益。</w:t>
      </w:r>
    </w:p>
    <w:p>
      <w:pPr>
        <w:widowControl/>
        <w:shd w:val="clear" w:color="auto" w:fill="FFFFFF"/>
        <w:spacing w:line="600" w:lineRule="exact"/>
        <w:ind w:firstLine="600"/>
        <w:jc w:val="left"/>
        <w:rPr>
          <w:rFonts w:ascii="仿宋_GB2312" w:hAnsi="仿宋" w:eastAsia="仿宋_GB2312" w:cs="仿宋"/>
          <w:kern w:val="0"/>
          <w:sz w:val="32"/>
          <w:szCs w:val="32"/>
        </w:rPr>
      </w:pPr>
      <w:r>
        <w:rPr>
          <w:rFonts w:hint="eastAsia" w:ascii="仿宋_GB2312" w:hAnsi="仿宋" w:eastAsia="仿宋_GB2312" w:cs="仿宋"/>
          <w:kern w:val="0"/>
          <w:sz w:val="32"/>
          <w:szCs w:val="32"/>
        </w:rPr>
        <w:t>11.政府和社会资本合作（PPP）。即Public—Private—Partnership的字母缩写，是指政府和社会资本在基础设施建设及公共服务领域建立的一种长期合作关系。通常模式是由社会资本承担设计、建设、运营、维护基础设施的大部分工作，并通过“使用者付费”及必要的“政府付费”获得合理回报；政府部门负责基础设施及公共服务价格和质量监管，以保证公共利益最大化。</w:t>
      </w:r>
    </w:p>
    <w:p>
      <w:pPr>
        <w:widowControl/>
        <w:shd w:val="clear" w:color="auto" w:fill="FFFFFF"/>
        <w:spacing w:line="600" w:lineRule="exact"/>
        <w:ind w:firstLine="600"/>
        <w:jc w:val="left"/>
        <w:rPr>
          <w:rFonts w:ascii="仿宋_GB2312" w:hAnsi="仿宋" w:eastAsia="仿宋_GB2312" w:cs="仿宋"/>
          <w:kern w:val="0"/>
          <w:sz w:val="32"/>
          <w:szCs w:val="32"/>
        </w:rPr>
      </w:pPr>
      <w:r>
        <w:rPr>
          <w:rFonts w:hint="eastAsia" w:ascii="仿宋_GB2312" w:hAnsi="仿宋" w:eastAsia="仿宋_GB2312" w:cs="仿宋"/>
          <w:kern w:val="0"/>
          <w:sz w:val="32"/>
          <w:szCs w:val="32"/>
        </w:rPr>
        <w:t>12.政府购买服务。指通过发挥市场机制作用，把政府直接提供的一部分公共服务事项以及政府履职所需服务事项，按照一定的方式和程序，交由具备条件的社会力量和事业单位承担，并由政府根据合同约定向其支付费用。</w:t>
      </w:r>
    </w:p>
    <w:p>
      <w:pPr>
        <w:widowControl/>
        <w:shd w:val="clear" w:color="auto" w:fill="FFFFFF"/>
        <w:spacing w:line="600" w:lineRule="exact"/>
        <w:ind w:firstLine="600"/>
        <w:jc w:val="left"/>
        <w:rPr>
          <w:rFonts w:ascii="仿宋_GB2312" w:hAnsi="仿宋" w:eastAsia="仿宋_GB2312" w:cs="仿宋"/>
          <w:kern w:val="0"/>
          <w:sz w:val="32"/>
          <w:szCs w:val="32"/>
        </w:rPr>
      </w:pPr>
      <w:r>
        <w:rPr>
          <w:rFonts w:hint="eastAsia" w:ascii="仿宋_GB2312" w:hAnsi="仿宋" w:eastAsia="仿宋_GB2312" w:cs="仿宋"/>
          <w:kern w:val="0"/>
          <w:sz w:val="32"/>
          <w:szCs w:val="32"/>
        </w:rPr>
        <w:t>13.转移支付。以各级政府之间所存在的财政能力差异为基础，以实现各地公共服务水平的均等化为主旨，而实行的一种财政资金转移或财政平衡制度。</w:t>
      </w:r>
    </w:p>
    <w:p>
      <w:pPr>
        <w:widowControl/>
        <w:shd w:val="clear" w:color="auto" w:fill="FFFFFF"/>
        <w:spacing w:line="600" w:lineRule="exact"/>
        <w:ind w:firstLine="600"/>
        <w:jc w:val="left"/>
        <w:rPr>
          <w:rFonts w:ascii="仿宋_GB2312" w:hAnsi="仿宋" w:eastAsia="仿宋_GB2312" w:cs="仿宋"/>
          <w:kern w:val="0"/>
          <w:sz w:val="32"/>
          <w:szCs w:val="32"/>
        </w:rPr>
      </w:pPr>
      <w:r>
        <w:rPr>
          <w:rFonts w:hint="eastAsia" w:ascii="仿宋_GB2312" w:hAnsi="仿宋" w:eastAsia="仿宋_GB2312" w:cs="仿宋"/>
          <w:kern w:val="0"/>
          <w:sz w:val="32"/>
          <w:szCs w:val="32"/>
        </w:rPr>
        <w:t>14.一般性转移支付。指上级政府给予地方政府的财力补助，用于均衡地区间财力差距，包括纯财力补助和中央地方基本公共服务领域共同财政事权转移支付，地方政府可以按照相关规定统筹安排和使用。</w:t>
      </w:r>
    </w:p>
    <w:p>
      <w:pPr>
        <w:widowControl/>
        <w:shd w:val="clear" w:color="auto" w:fill="FFFFFF"/>
        <w:spacing w:line="600" w:lineRule="exact"/>
        <w:ind w:firstLine="640" w:firstLineChars="200"/>
        <w:jc w:val="left"/>
        <w:rPr>
          <w:rFonts w:ascii="仿宋_GB2312" w:hAnsi="仿宋" w:eastAsia="仿宋_GB2312" w:cs="仿宋"/>
          <w:kern w:val="0"/>
          <w:sz w:val="32"/>
          <w:szCs w:val="32"/>
        </w:rPr>
      </w:pPr>
      <w:r>
        <w:rPr>
          <w:rFonts w:hint="eastAsia" w:ascii="仿宋_GB2312" w:hAnsi="仿宋" w:eastAsia="仿宋_GB2312" w:cs="仿宋"/>
          <w:kern w:val="0"/>
          <w:sz w:val="32"/>
          <w:szCs w:val="32"/>
        </w:rPr>
        <w:t>15.专项转移支付。指上级政府为实现特定的经济和社会发展目标无偿给予地方政府，由接受转移支付的政府按照上级政府规定的用途安排使用的预算资金。</w:t>
      </w:r>
    </w:p>
    <w:p>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16.政府债务。指按预算法规定通过省政府代为发行的地方政府债券，以及2014年底清理甄别锁定的存量政府债务。政府债务分为一般债务和专项债务。一般债务指政府为没有收益的公益性事业发展举借的债务；专项债务指政府为有一定收益的公益性事业发展举借的债务。</w:t>
      </w:r>
      <w:r>
        <w:rPr>
          <w:rFonts w:hint="eastAsia" w:ascii="仿宋_GB2312" w:hAnsi="仿宋" w:eastAsia="仿宋_GB2312" w:cs="仿宋"/>
          <w:kern w:val="0"/>
          <w:sz w:val="32"/>
          <w:szCs w:val="32"/>
        </w:rPr>
        <w:tab/>
      </w:r>
    </w:p>
    <w:p>
      <w:pPr>
        <w:spacing w:line="600" w:lineRule="exact"/>
        <w:ind w:firstLine="640" w:firstLineChars="200"/>
        <w:rPr>
          <w:rFonts w:ascii="仿宋" w:hAnsi="仿宋" w:eastAsia="仿宋" w:cs="仿宋"/>
          <w:sz w:val="32"/>
          <w:szCs w:val="32"/>
          <w:shd w:val="clear" w:color="auto" w:fill="FFFFFF"/>
        </w:rPr>
      </w:pPr>
      <w:r>
        <w:rPr>
          <w:rFonts w:hint="eastAsia" w:ascii="仿宋" w:hAnsi="仿宋" w:eastAsia="仿宋" w:cs="仿宋"/>
          <w:kern w:val="0"/>
          <w:sz w:val="32"/>
          <w:szCs w:val="32"/>
        </w:rPr>
        <w:t>17.六稳：</w:t>
      </w:r>
      <w:r>
        <w:rPr>
          <w:rFonts w:hint="eastAsia" w:ascii="仿宋" w:hAnsi="仿宋" w:eastAsia="仿宋" w:cs="仿宋"/>
          <w:sz w:val="32"/>
          <w:szCs w:val="32"/>
          <w:shd w:val="clear" w:color="auto" w:fill="FFFFFF"/>
        </w:rPr>
        <w:t>稳就业、稳金融、稳外贸、稳外资、稳投资、稳预期工作。</w:t>
      </w:r>
    </w:p>
    <w:p>
      <w:pPr>
        <w:spacing w:line="600" w:lineRule="exact"/>
        <w:ind w:firstLine="640" w:firstLineChars="200"/>
        <w:rPr>
          <w:rFonts w:ascii="仿宋_GB2312" w:hAnsi="仿宋" w:eastAsia="仿宋_GB2312" w:cs="仿宋"/>
          <w:kern w:val="0"/>
          <w:sz w:val="32"/>
          <w:szCs w:val="32"/>
        </w:rPr>
      </w:pPr>
      <w:r>
        <w:rPr>
          <w:rFonts w:hint="eastAsia" w:ascii="仿宋" w:hAnsi="仿宋" w:eastAsia="仿宋" w:cs="仿宋"/>
          <w:sz w:val="32"/>
          <w:szCs w:val="32"/>
          <w:shd w:val="clear" w:color="auto" w:fill="FFFFFF"/>
        </w:rPr>
        <w:t>18.六保：保居民就业、保基本民生、保市场主体、保粮食能源安全、保产业链供应链稳定、保基层运转。</w:t>
      </w:r>
      <w:r>
        <w:rPr>
          <w:rFonts w:hint="eastAsia" w:ascii="仿宋" w:hAnsi="仿宋" w:eastAsia="仿宋" w:cs="仿宋"/>
          <w:kern w:val="0"/>
          <w:sz w:val="32"/>
          <w:szCs w:val="32"/>
        </w:rPr>
        <w:tab/>
      </w:r>
    </w:p>
    <w:p>
      <w:pPr>
        <w:rPr>
          <w:rFonts w:ascii="黑体" w:hAnsi="黑体" w:eastAsia="黑体" w:cs="宋体"/>
          <w:kern w:val="0"/>
          <w:sz w:val="36"/>
          <w:szCs w:val="36"/>
        </w:rPr>
      </w:pPr>
    </w:p>
    <w:p>
      <w:pPr>
        <w:rPr>
          <w:rFonts w:ascii="黑体" w:hAnsi="黑体" w:eastAsia="黑体" w:cs="宋体"/>
          <w:kern w:val="0"/>
          <w:sz w:val="36"/>
          <w:szCs w:val="36"/>
        </w:rPr>
      </w:pPr>
    </w:p>
    <w:p>
      <w:pPr>
        <w:rPr>
          <w:rFonts w:ascii="黑体" w:hAnsi="黑体" w:eastAsia="黑体" w:cs="宋体"/>
          <w:kern w:val="0"/>
          <w:sz w:val="36"/>
          <w:szCs w:val="36"/>
        </w:rPr>
      </w:pPr>
    </w:p>
    <w:p>
      <w:pPr>
        <w:rPr>
          <w:rFonts w:ascii="黑体" w:hAnsi="黑体" w:eastAsia="黑体" w:cs="宋体"/>
          <w:kern w:val="0"/>
          <w:sz w:val="36"/>
          <w:szCs w:val="36"/>
        </w:rPr>
      </w:pPr>
    </w:p>
    <w:p>
      <w:pPr>
        <w:rPr>
          <w:rFonts w:ascii="黑体" w:hAnsi="黑体" w:eastAsia="黑体" w:cs="宋体"/>
          <w:kern w:val="0"/>
          <w:sz w:val="36"/>
          <w:szCs w:val="36"/>
        </w:rPr>
      </w:pPr>
    </w:p>
    <w:p>
      <w:pPr>
        <w:pStyle w:val="2"/>
        <w:rPr>
          <w:rFonts w:ascii="黑体" w:hAnsi="黑体" w:eastAsia="黑体" w:cs="宋体"/>
          <w:kern w:val="0"/>
          <w:sz w:val="36"/>
          <w:szCs w:val="36"/>
        </w:rPr>
      </w:pPr>
    </w:p>
    <w:p>
      <w:pPr>
        <w:pStyle w:val="2"/>
        <w:rPr>
          <w:rFonts w:ascii="黑体" w:hAnsi="黑体" w:eastAsia="黑体" w:cs="宋体"/>
          <w:kern w:val="0"/>
          <w:sz w:val="36"/>
          <w:szCs w:val="36"/>
        </w:rPr>
      </w:pPr>
    </w:p>
    <w:p>
      <w:pPr>
        <w:pStyle w:val="2"/>
        <w:rPr>
          <w:rFonts w:ascii="黑体" w:hAnsi="黑体" w:eastAsia="黑体" w:cs="宋体"/>
          <w:kern w:val="0"/>
          <w:sz w:val="36"/>
          <w:szCs w:val="36"/>
        </w:rPr>
      </w:pPr>
    </w:p>
    <w:p>
      <w:pPr>
        <w:rPr>
          <w:rFonts w:ascii="黑体" w:hAnsi="黑体" w:eastAsia="黑体" w:cs="宋体"/>
          <w:kern w:val="0"/>
          <w:sz w:val="36"/>
          <w:szCs w:val="36"/>
        </w:rPr>
      </w:pPr>
    </w:p>
    <w:p>
      <w:pPr>
        <w:rPr>
          <w:rFonts w:ascii="黑体" w:hAnsi="黑体" w:eastAsia="黑体" w:cs="宋体"/>
          <w:kern w:val="0"/>
          <w:sz w:val="36"/>
          <w:szCs w:val="36"/>
        </w:rPr>
      </w:pPr>
    </w:p>
    <w:p>
      <w:pPr>
        <w:rPr>
          <w:rFonts w:ascii="黑体" w:hAnsi="黑体" w:eastAsia="黑体" w:cs="宋体"/>
          <w:kern w:val="0"/>
          <w:sz w:val="36"/>
          <w:szCs w:val="36"/>
        </w:rPr>
      </w:pPr>
      <w:r>
        <w:rPr>
          <w:rFonts w:hint="eastAsia" w:ascii="黑体" w:hAnsi="黑体" w:eastAsia="黑体" w:cs="宋体"/>
          <w:kern w:val="0"/>
          <w:sz w:val="36"/>
          <w:szCs w:val="36"/>
        </w:rPr>
        <w:t xml:space="preserve">附件2-01       </w:t>
      </w:r>
    </w:p>
    <w:p>
      <w:pPr>
        <w:spacing w:line="400" w:lineRule="exact"/>
        <w:jc w:val="center"/>
        <w:rPr>
          <w:rFonts w:ascii="方正小标宋简体" w:hAnsi="宋体" w:eastAsia="方正小标宋简体" w:cs="宋体"/>
          <w:sz w:val="36"/>
          <w:szCs w:val="36"/>
        </w:rPr>
      </w:pPr>
      <w:r>
        <w:rPr>
          <w:rFonts w:hint="eastAsia" w:ascii="方正小标宋简体" w:eastAsia="方正小标宋简体"/>
          <w:sz w:val="36"/>
          <w:szCs w:val="36"/>
        </w:rPr>
        <w:t>20</w:t>
      </w:r>
      <w:r>
        <w:rPr>
          <w:rFonts w:ascii="方正小标宋简体" w:eastAsia="方正小标宋简体"/>
          <w:sz w:val="36"/>
          <w:szCs w:val="36"/>
        </w:rPr>
        <w:t>20</w:t>
      </w:r>
      <w:r>
        <w:rPr>
          <w:rFonts w:hint="eastAsia" w:ascii="方正小标宋简体" w:eastAsia="方正小标宋简体"/>
          <w:sz w:val="36"/>
          <w:szCs w:val="36"/>
        </w:rPr>
        <w:t>年一般公共预算执行情况表</w:t>
      </w:r>
    </w:p>
    <w:p>
      <w:pPr>
        <w:spacing w:line="300" w:lineRule="exact"/>
      </w:pPr>
      <w:r>
        <w:rPr>
          <w:rFonts w:hint="eastAsia" w:ascii="仿宋_GB2312" w:hAnsi="宋体" w:eastAsia="仿宋_GB2312" w:cs="宋体"/>
          <w:kern w:val="0"/>
          <w:sz w:val="32"/>
          <w:szCs w:val="32"/>
        </w:rPr>
        <w:t xml:space="preserve">                                                 </w:t>
      </w:r>
      <w:r>
        <w:rPr>
          <w:rFonts w:hint="eastAsia"/>
        </w:rPr>
        <w:t>单位：万元</w:t>
      </w:r>
    </w:p>
    <w:tbl>
      <w:tblPr>
        <w:tblStyle w:val="7"/>
        <w:tblW w:w="9072" w:type="dxa"/>
        <w:tblInd w:w="93" w:type="dxa"/>
        <w:tblLayout w:type="autofit"/>
        <w:tblCellMar>
          <w:top w:w="0" w:type="dxa"/>
          <w:left w:w="108" w:type="dxa"/>
          <w:bottom w:w="0" w:type="dxa"/>
          <w:right w:w="108" w:type="dxa"/>
        </w:tblCellMar>
      </w:tblPr>
      <w:tblGrid>
        <w:gridCol w:w="2355"/>
        <w:gridCol w:w="756"/>
        <w:gridCol w:w="756"/>
        <w:gridCol w:w="846"/>
        <w:gridCol w:w="2322"/>
        <w:gridCol w:w="756"/>
        <w:gridCol w:w="756"/>
        <w:gridCol w:w="846"/>
      </w:tblGrid>
      <w:tr>
        <w:tblPrEx>
          <w:tblCellMar>
            <w:top w:w="0" w:type="dxa"/>
            <w:left w:w="108" w:type="dxa"/>
            <w:bottom w:w="0" w:type="dxa"/>
            <w:right w:w="108" w:type="dxa"/>
          </w:tblCellMar>
        </w:tblPrEx>
        <w:trPr>
          <w:trHeight w:val="414" w:hRule="atLeast"/>
        </w:trPr>
        <w:tc>
          <w:tcPr>
            <w:tcW w:w="471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cs="宋体"/>
                <w:b/>
                <w:bCs/>
                <w:kern w:val="0"/>
                <w:sz w:val="24"/>
              </w:rPr>
            </w:pPr>
            <w:r>
              <w:rPr>
                <w:rFonts w:hint="eastAsia" w:ascii="宋体" w:hAnsi="宋体" w:cs="宋体"/>
                <w:b/>
                <w:bCs/>
                <w:kern w:val="0"/>
                <w:sz w:val="24"/>
              </w:rPr>
              <w:t>收    入</w:t>
            </w:r>
          </w:p>
        </w:tc>
        <w:tc>
          <w:tcPr>
            <w:tcW w:w="468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ascii="宋体" w:hAnsi="宋体" w:cs="宋体"/>
                <w:b/>
                <w:bCs/>
                <w:kern w:val="0"/>
                <w:sz w:val="24"/>
              </w:rPr>
            </w:pPr>
            <w:r>
              <w:rPr>
                <w:rFonts w:hint="eastAsia" w:ascii="宋体" w:hAnsi="宋体" w:cs="宋体"/>
                <w:b/>
                <w:bCs/>
                <w:kern w:val="0"/>
                <w:sz w:val="24"/>
              </w:rPr>
              <w:t>支      出</w:t>
            </w:r>
          </w:p>
        </w:tc>
      </w:tr>
      <w:tr>
        <w:tblPrEx>
          <w:tblCellMar>
            <w:top w:w="0" w:type="dxa"/>
            <w:left w:w="108" w:type="dxa"/>
            <w:bottom w:w="0" w:type="dxa"/>
            <w:right w:w="108" w:type="dxa"/>
          </w:tblCellMar>
        </w:tblPrEx>
        <w:trPr>
          <w:trHeight w:val="596" w:hRule="atLeast"/>
        </w:trPr>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项   目</w:t>
            </w:r>
          </w:p>
        </w:tc>
        <w:tc>
          <w:tcPr>
            <w:tcW w:w="75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调整预算数</w:t>
            </w:r>
          </w:p>
        </w:tc>
        <w:tc>
          <w:tcPr>
            <w:tcW w:w="75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全年执行数</w:t>
            </w:r>
          </w:p>
        </w:tc>
        <w:tc>
          <w:tcPr>
            <w:tcW w:w="84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占预算调整的%</w:t>
            </w:r>
          </w:p>
        </w:tc>
        <w:tc>
          <w:tcPr>
            <w:tcW w:w="232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项  目</w:t>
            </w:r>
          </w:p>
        </w:tc>
        <w:tc>
          <w:tcPr>
            <w:tcW w:w="75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调整预算数</w:t>
            </w:r>
          </w:p>
        </w:tc>
        <w:tc>
          <w:tcPr>
            <w:tcW w:w="75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全年执行数</w:t>
            </w:r>
          </w:p>
        </w:tc>
        <w:tc>
          <w:tcPr>
            <w:tcW w:w="84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占预算调整的%</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一、地方一般公共预算收入</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40000</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39536</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98.84%</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一、地方一般公共预算支出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409637</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422112</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103.05%</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（一）税收收入</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25000</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29699</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118.80%</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201.一般公共服务支出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38585</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47961</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124.30%</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（二）非税收入</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15000</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9837</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65.58%</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w:t>
            </w:r>
            <w:r>
              <w:rPr>
                <w:rFonts w:ascii="宋体" w:hAnsi="宋体" w:cs="宋体"/>
                <w:kern w:val="0"/>
                <w:sz w:val="18"/>
                <w:szCs w:val="18"/>
              </w:rPr>
              <w:t>03.国防支出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8</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8</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100.00</w:t>
            </w:r>
            <w:r>
              <w:rPr>
                <w:rFonts w:hint="eastAsia" w:ascii="宋体" w:hAnsi="宋体" w:cs="宋体"/>
                <w:kern w:val="0"/>
                <w:sz w:val="18"/>
                <w:szCs w:val="18"/>
              </w:rPr>
              <w:t>%</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二、上级补助收入</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318446</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341310</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107.18%</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204.公共安全支出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11308</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11335</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100.24%</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（一）返还性收入</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15471</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15471</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100.00</w:t>
            </w:r>
            <w:r>
              <w:rPr>
                <w:rFonts w:hint="eastAsia" w:ascii="宋体" w:hAnsi="宋体" w:cs="宋体"/>
                <w:kern w:val="0"/>
                <w:sz w:val="18"/>
                <w:szCs w:val="18"/>
              </w:rPr>
              <w:t>%</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205.教育支出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55739</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56472</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101.32%</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（二）一般转移支付收入</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270998</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290112</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107.05%</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206.科学技术支出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3898</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4006</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102.77%</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（三）专项转移支付收入</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31977</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35727</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111.73%</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207.文化</w:t>
            </w:r>
            <w:r>
              <w:rPr>
                <w:rFonts w:ascii="宋体" w:hAnsi="宋体" w:cs="宋体"/>
                <w:kern w:val="0"/>
                <w:sz w:val="18"/>
                <w:szCs w:val="18"/>
              </w:rPr>
              <w:t>旅游体育与传媒支出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9170</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9531</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103.94%</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三、上年结转结余</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19039</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19039</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100.00%</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208.社会保障和就业支出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52455</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54831</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104.53%</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四、调入资金</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6996</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6996</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100.00%</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210.卫生健康</w:t>
            </w:r>
            <w:r>
              <w:rPr>
                <w:rFonts w:ascii="宋体" w:hAnsi="宋体" w:cs="宋体"/>
                <w:kern w:val="0"/>
                <w:sz w:val="18"/>
                <w:szCs w:val="18"/>
              </w:rPr>
              <w:t>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40159</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42054</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104.72%</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五、调入预算稳定调节基金</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26660</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26660</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100.00%</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211.节能环保支出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10807</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10864</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100.53%</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六、债券转贷收入</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59400</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59400</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100.00%</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212.城乡社区支出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7108</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7490</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105.37%</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213.农林水支出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78055</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73251</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93.85%</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214.交通运输支出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53884</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54652</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101.43%</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215.资源勘探工业信息等支出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5431</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5706</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105.06%</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216.商业服务业等支出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4468</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4028</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90.15%</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217.金融</w:t>
            </w:r>
            <w:r>
              <w:rPr>
                <w:rFonts w:ascii="宋体" w:hAnsi="宋体" w:cs="宋体"/>
                <w:kern w:val="0"/>
                <w:sz w:val="18"/>
                <w:szCs w:val="18"/>
              </w:rPr>
              <w:t>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21</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22</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104.76</w:t>
            </w:r>
            <w:r>
              <w:rPr>
                <w:rFonts w:ascii="宋体" w:hAnsi="宋体" w:cs="宋体"/>
                <w:kern w:val="0"/>
                <w:sz w:val="18"/>
                <w:szCs w:val="18"/>
              </w:rPr>
              <w:t>%</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220.自然资源</w:t>
            </w:r>
            <w:r>
              <w:rPr>
                <w:rFonts w:ascii="宋体" w:hAnsi="宋体" w:cs="宋体"/>
                <w:kern w:val="0"/>
                <w:sz w:val="18"/>
                <w:szCs w:val="18"/>
              </w:rPr>
              <w:t>海洋气象等</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9372</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9477</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101.12%</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221.住房保障支出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15835</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15835</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100.00</w:t>
            </w:r>
            <w:r>
              <w:rPr>
                <w:rFonts w:hint="eastAsia" w:ascii="宋体" w:hAnsi="宋体" w:cs="宋体"/>
                <w:kern w:val="0"/>
                <w:sz w:val="18"/>
                <w:szCs w:val="18"/>
              </w:rPr>
              <w:t>%</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222.粮油物资储备支出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1193</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1438</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120.54%</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224.灾害防治</w:t>
            </w:r>
            <w:r>
              <w:rPr>
                <w:rFonts w:ascii="宋体" w:hAnsi="宋体" w:cs="宋体"/>
                <w:kern w:val="0"/>
                <w:sz w:val="18"/>
                <w:szCs w:val="18"/>
              </w:rPr>
              <w:t>及应急管理</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5089</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6280</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123.40%</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227.预备费</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0</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0</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0</w:t>
            </w:r>
            <w:r>
              <w:rPr>
                <w:rFonts w:ascii="宋体" w:hAnsi="宋体" w:cs="宋体"/>
                <w:kern w:val="0"/>
                <w:sz w:val="18"/>
                <w:szCs w:val="18"/>
              </w:rPr>
              <w:t>.00%</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229.其他支出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0</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0</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0</w:t>
            </w:r>
            <w:r>
              <w:rPr>
                <w:rFonts w:ascii="宋体" w:hAnsi="宋体" w:cs="宋体"/>
                <w:kern w:val="0"/>
                <w:sz w:val="18"/>
                <w:szCs w:val="18"/>
              </w:rPr>
              <w:t>.00%</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232.债务付息支出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7000</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6812</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97.31%</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233、</w:t>
            </w:r>
            <w:r>
              <w:rPr>
                <w:rFonts w:ascii="宋体" w:hAnsi="宋体" w:cs="宋体"/>
                <w:kern w:val="0"/>
                <w:sz w:val="18"/>
                <w:szCs w:val="18"/>
              </w:rPr>
              <w:t>债务发行费</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52</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59</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113.46</w:t>
            </w:r>
            <w:r>
              <w:rPr>
                <w:rFonts w:hint="eastAsia" w:ascii="宋体" w:hAnsi="宋体" w:cs="宋体"/>
                <w:kern w:val="0"/>
                <w:sz w:val="18"/>
                <w:szCs w:val="18"/>
              </w:rPr>
              <w:t>%</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二、补充预算稳定调节基金</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0</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1496</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三、债务还本支出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41040</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41040</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100.00%</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四、上解支出</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14384</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10964</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76.22%</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收入合计</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470541</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492941</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104.76%</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xml:space="preserve">      支出合计</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465061</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475612</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102.27%</w:t>
            </w:r>
          </w:p>
        </w:tc>
      </w:tr>
      <w:tr>
        <w:tblPrEx>
          <w:tblCellMar>
            <w:top w:w="0" w:type="dxa"/>
            <w:left w:w="108" w:type="dxa"/>
            <w:bottom w:w="0" w:type="dxa"/>
            <w:right w:w="108" w:type="dxa"/>
          </w:tblCellMar>
        </w:tblPrEx>
        <w:trPr>
          <w:trHeight w:val="170" w:hRule="atLeast"/>
        </w:trPr>
        <w:tc>
          <w:tcPr>
            <w:tcW w:w="2355"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c>
          <w:tcPr>
            <w:tcW w:w="2322"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xml:space="preserve">      结转下年</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ascii="宋体" w:hAnsi="宋体" w:cs="宋体"/>
                <w:kern w:val="0"/>
                <w:sz w:val="18"/>
                <w:szCs w:val="18"/>
              </w:rPr>
              <w:t>5480</w:t>
            </w:r>
          </w:p>
        </w:tc>
        <w:tc>
          <w:tcPr>
            <w:tcW w:w="75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17329</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300" w:lineRule="exact"/>
              <w:jc w:val="right"/>
              <w:rPr>
                <w:rFonts w:ascii="宋体" w:hAnsi="宋体" w:cs="宋体"/>
                <w:kern w:val="0"/>
                <w:sz w:val="18"/>
                <w:szCs w:val="18"/>
              </w:rPr>
            </w:pPr>
            <w:r>
              <w:rPr>
                <w:rFonts w:hint="eastAsia" w:ascii="宋体" w:hAnsi="宋体" w:cs="宋体"/>
                <w:kern w:val="0"/>
                <w:sz w:val="18"/>
                <w:szCs w:val="18"/>
              </w:rPr>
              <w:t>　</w:t>
            </w:r>
          </w:p>
        </w:tc>
      </w:tr>
    </w:tbl>
    <w:p>
      <w:pPr>
        <w:rPr>
          <w:rFonts w:ascii="黑体" w:hAnsi="黑体" w:eastAsia="黑体" w:cs="宋体"/>
          <w:color w:val="000000"/>
          <w:kern w:val="0"/>
          <w:sz w:val="36"/>
          <w:szCs w:val="36"/>
        </w:rPr>
      </w:pPr>
      <w:r>
        <w:rPr>
          <w:rFonts w:hint="eastAsia" w:ascii="黑体" w:hAnsi="黑体" w:eastAsia="黑体" w:cs="宋体"/>
          <w:color w:val="000000"/>
          <w:kern w:val="0"/>
          <w:sz w:val="36"/>
          <w:szCs w:val="36"/>
        </w:rPr>
        <w:t xml:space="preserve">附件2-02     </w:t>
      </w:r>
    </w:p>
    <w:p>
      <w:pPr>
        <w:spacing w:line="400" w:lineRule="exact"/>
        <w:jc w:val="center"/>
        <w:rPr>
          <w:rFonts w:ascii="方正小标宋简体" w:hAnsi="宋体" w:eastAsia="方正小标宋简体" w:cs="宋体"/>
          <w:color w:val="000000"/>
          <w:sz w:val="36"/>
          <w:szCs w:val="36"/>
        </w:rPr>
      </w:pPr>
      <w:r>
        <w:rPr>
          <w:rFonts w:hint="eastAsia" w:ascii="方正小标宋简体" w:eastAsia="方正小标宋简体"/>
          <w:color w:val="000000"/>
          <w:sz w:val="36"/>
          <w:szCs w:val="36"/>
        </w:rPr>
        <w:t>2020年政府性基金预算执行情况表</w:t>
      </w:r>
    </w:p>
    <w:p>
      <w:pPr>
        <w:spacing w:line="400" w:lineRule="exact"/>
        <w:rPr>
          <w:rFonts w:ascii="宋体" w:hAnsi="宋体" w:cs="宋体"/>
          <w:color w:val="000000"/>
          <w:sz w:val="24"/>
        </w:rPr>
      </w:pPr>
      <w:r>
        <w:rPr>
          <w:rFonts w:hint="eastAsia" w:ascii="仿宋_GB2312" w:hAnsi="宋体" w:eastAsia="仿宋_GB2312" w:cs="宋体"/>
          <w:color w:val="000000"/>
          <w:kern w:val="0"/>
          <w:sz w:val="32"/>
          <w:szCs w:val="32"/>
        </w:rPr>
        <w:t xml:space="preserve">                                                 </w:t>
      </w:r>
      <w:r>
        <w:rPr>
          <w:rFonts w:hint="eastAsia"/>
          <w:color w:val="000000"/>
        </w:rPr>
        <w:t>单位：万元</w:t>
      </w:r>
    </w:p>
    <w:tbl>
      <w:tblPr>
        <w:tblStyle w:val="7"/>
        <w:tblW w:w="9540" w:type="dxa"/>
        <w:tblInd w:w="-72" w:type="dxa"/>
        <w:tblLayout w:type="fixed"/>
        <w:tblCellMar>
          <w:top w:w="0" w:type="dxa"/>
          <w:left w:w="108" w:type="dxa"/>
          <w:bottom w:w="0" w:type="dxa"/>
          <w:right w:w="108" w:type="dxa"/>
        </w:tblCellMar>
      </w:tblPr>
      <w:tblGrid>
        <w:gridCol w:w="2307"/>
        <w:gridCol w:w="850"/>
        <w:gridCol w:w="851"/>
        <w:gridCol w:w="852"/>
        <w:gridCol w:w="2266"/>
        <w:gridCol w:w="794"/>
        <w:gridCol w:w="765"/>
        <w:gridCol w:w="855"/>
      </w:tblGrid>
      <w:tr>
        <w:tblPrEx>
          <w:tblCellMar>
            <w:top w:w="0" w:type="dxa"/>
            <w:left w:w="108" w:type="dxa"/>
            <w:bottom w:w="0" w:type="dxa"/>
            <w:right w:w="108" w:type="dxa"/>
          </w:tblCellMar>
        </w:tblPrEx>
        <w:trPr>
          <w:trHeight w:val="414" w:hRule="atLeast"/>
        </w:trPr>
        <w:tc>
          <w:tcPr>
            <w:tcW w:w="486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宋体" w:hAnsi="宋体" w:cs="宋体"/>
                <w:b/>
                <w:bCs/>
                <w:color w:val="000000"/>
                <w:kern w:val="0"/>
                <w:sz w:val="28"/>
                <w:szCs w:val="28"/>
              </w:rPr>
            </w:pPr>
            <w:r>
              <w:rPr>
                <w:rFonts w:hint="eastAsia" w:ascii="宋体" w:hAnsi="宋体" w:cs="宋体"/>
                <w:b/>
                <w:bCs/>
                <w:color w:val="000000"/>
                <w:kern w:val="0"/>
                <w:sz w:val="28"/>
                <w:szCs w:val="28"/>
              </w:rPr>
              <w:t>收     入</w:t>
            </w:r>
          </w:p>
        </w:tc>
        <w:tc>
          <w:tcPr>
            <w:tcW w:w="468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宋体" w:hAnsi="宋体" w:cs="宋体"/>
                <w:b/>
                <w:bCs/>
                <w:color w:val="000000"/>
                <w:kern w:val="0"/>
                <w:sz w:val="28"/>
                <w:szCs w:val="28"/>
              </w:rPr>
            </w:pPr>
            <w:r>
              <w:rPr>
                <w:rFonts w:hint="eastAsia" w:ascii="宋体" w:hAnsi="宋体" w:cs="宋体"/>
                <w:b/>
                <w:bCs/>
                <w:color w:val="000000"/>
                <w:kern w:val="0"/>
                <w:sz w:val="28"/>
                <w:szCs w:val="28"/>
              </w:rPr>
              <w:t>支      出</w:t>
            </w:r>
          </w:p>
        </w:tc>
      </w:tr>
      <w:tr>
        <w:tblPrEx>
          <w:tblCellMar>
            <w:top w:w="0" w:type="dxa"/>
            <w:left w:w="108" w:type="dxa"/>
            <w:bottom w:w="0" w:type="dxa"/>
            <w:right w:w="108" w:type="dxa"/>
          </w:tblCellMar>
        </w:tblPrEx>
        <w:trPr>
          <w:trHeight w:val="829" w:hRule="atLeast"/>
        </w:trPr>
        <w:tc>
          <w:tcPr>
            <w:tcW w:w="2307"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color w:val="000000"/>
                <w:kern w:val="0"/>
                <w:sz w:val="18"/>
                <w:szCs w:val="18"/>
              </w:rPr>
            </w:pPr>
            <w:r>
              <w:rPr>
                <w:rFonts w:hint="eastAsia" w:ascii="宋体" w:hAnsi="宋体" w:cs="宋体"/>
                <w:color w:val="000000"/>
                <w:kern w:val="0"/>
                <w:sz w:val="18"/>
                <w:szCs w:val="18"/>
              </w:rPr>
              <w:t>项    目</w:t>
            </w:r>
          </w:p>
        </w:tc>
        <w:tc>
          <w:tcPr>
            <w:tcW w:w="85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宋体" w:hAnsi="宋体" w:cs="宋体"/>
                <w:color w:val="000000"/>
                <w:kern w:val="0"/>
                <w:sz w:val="18"/>
                <w:szCs w:val="18"/>
              </w:rPr>
            </w:pPr>
            <w:r>
              <w:rPr>
                <w:rFonts w:hint="eastAsia" w:ascii="宋体" w:hAnsi="宋体" w:cs="宋体"/>
                <w:color w:val="000000"/>
                <w:kern w:val="0"/>
                <w:sz w:val="18"/>
                <w:szCs w:val="18"/>
              </w:rPr>
              <w:t>调整预算数</w:t>
            </w:r>
          </w:p>
        </w:tc>
        <w:tc>
          <w:tcPr>
            <w:tcW w:w="851"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宋体" w:hAnsi="宋体" w:cs="宋体"/>
                <w:color w:val="000000"/>
                <w:kern w:val="0"/>
                <w:sz w:val="18"/>
                <w:szCs w:val="18"/>
              </w:rPr>
            </w:pPr>
            <w:r>
              <w:rPr>
                <w:rFonts w:hint="eastAsia" w:ascii="宋体" w:hAnsi="宋体" w:cs="宋体"/>
                <w:color w:val="000000"/>
                <w:kern w:val="0"/>
                <w:sz w:val="18"/>
                <w:szCs w:val="18"/>
              </w:rPr>
              <w:t>全年执行数</w:t>
            </w:r>
          </w:p>
        </w:tc>
        <w:tc>
          <w:tcPr>
            <w:tcW w:w="852"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宋体" w:hAnsi="宋体" w:cs="宋体"/>
                <w:color w:val="000000"/>
                <w:kern w:val="0"/>
                <w:sz w:val="18"/>
                <w:szCs w:val="18"/>
              </w:rPr>
            </w:pPr>
            <w:r>
              <w:rPr>
                <w:rFonts w:hint="eastAsia" w:ascii="宋体" w:hAnsi="宋体" w:cs="宋体"/>
                <w:color w:val="000000"/>
                <w:kern w:val="0"/>
                <w:sz w:val="18"/>
                <w:szCs w:val="18"/>
              </w:rPr>
              <w:t>占预算调整的%</w:t>
            </w:r>
          </w:p>
        </w:tc>
        <w:tc>
          <w:tcPr>
            <w:tcW w:w="226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宋体" w:hAnsi="宋体" w:cs="宋体"/>
                <w:color w:val="000000"/>
                <w:kern w:val="0"/>
                <w:sz w:val="18"/>
                <w:szCs w:val="18"/>
              </w:rPr>
            </w:pPr>
            <w:r>
              <w:rPr>
                <w:rFonts w:hint="eastAsia" w:ascii="宋体" w:hAnsi="宋体" w:cs="宋体"/>
                <w:color w:val="000000"/>
                <w:kern w:val="0"/>
                <w:sz w:val="18"/>
                <w:szCs w:val="18"/>
              </w:rPr>
              <w:t>项   目</w:t>
            </w:r>
          </w:p>
        </w:tc>
        <w:tc>
          <w:tcPr>
            <w:tcW w:w="794"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宋体" w:hAnsi="宋体" w:cs="宋体"/>
                <w:color w:val="000000"/>
                <w:kern w:val="0"/>
                <w:sz w:val="18"/>
                <w:szCs w:val="18"/>
              </w:rPr>
            </w:pPr>
            <w:r>
              <w:rPr>
                <w:rFonts w:hint="eastAsia" w:ascii="宋体" w:hAnsi="宋体" w:cs="宋体"/>
                <w:color w:val="000000"/>
                <w:kern w:val="0"/>
                <w:sz w:val="18"/>
                <w:szCs w:val="18"/>
              </w:rPr>
              <w:t>调整预算数</w:t>
            </w:r>
          </w:p>
        </w:tc>
        <w:tc>
          <w:tcPr>
            <w:tcW w:w="765"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宋体" w:hAnsi="宋体" w:cs="宋体"/>
                <w:color w:val="000000"/>
                <w:kern w:val="0"/>
                <w:sz w:val="18"/>
                <w:szCs w:val="18"/>
              </w:rPr>
            </w:pPr>
            <w:r>
              <w:rPr>
                <w:rFonts w:hint="eastAsia" w:ascii="宋体" w:hAnsi="宋体" w:cs="宋体"/>
                <w:color w:val="000000"/>
                <w:kern w:val="0"/>
                <w:sz w:val="18"/>
                <w:szCs w:val="18"/>
              </w:rPr>
              <w:t>全年执行数</w:t>
            </w:r>
          </w:p>
        </w:tc>
        <w:tc>
          <w:tcPr>
            <w:tcW w:w="855"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宋体" w:hAnsi="宋体" w:cs="宋体"/>
                <w:color w:val="000000"/>
                <w:kern w:val="0"/>
                <w:sz w:val="18"/>
                <w:szCs w:val="18"/>
              </w:rPr>
            </w:pPr>
            <w:r>
              <w:rPr>
                <w:rFonts w:hint="eastAsia" w:ascii="宋体" w:hAnsi="宋体" w:cs="宋体"/>
                <w:color w:val="000000"/>
                <w:kern w:val="0"/>
                <w:sz w:val="18"/>
                <w:szCs w:val="18"/>
              </w:rPr>
              <w:t>占预算调整的%</w:t>
            </w:r>
          </w:p>
        </w:tc>
      </w:tr>
      <w:tr>
        <w:tblPrEx>
          <w:tblCellMar>
            <w:top w:w="0" w:type="dxa"/>
            <w:left w:w="108" w:type="dxa"/>
            <w:bottom w:w="0" w:type="dxa"/>
            <w:right w:w="108" w:type="dxa"/>
          </w:tblCellMar>
        </w:tblPrEx>
        <w:trPr>
          <w:trHeight w:val="651" w:hRule="atLeast"/>
        </w:trPr>
        <w:tc>
          <w:tcPr>
            <w:tcW w:w="2307" w:type="dxa"/>
            <w:tcBorders>
              <w:top w:val="nil"/>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一、本级收入</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sz w:val="18"/>
                <w:szCs w:val="18"/>
              </w:rPr>
              <w:t>44630</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44738</w:t>
            </w:r>
          </w:p>
        </w:tc>
        <w:tc>
          <w:tcPr>
            <w:tcW w:w="85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100.24</w:t>
            </w:r>
            <w:r>
              <w:rPr>
                <w:rFonts w:hint="eastAsia" w:asciiTheme="minorEastAsia" w:hAnsiTheme="minorEastAsia" w:eastAsiaTheme="minorEastAsia"/>
                <w:color w:val="000000"/>
                <w:sz w:val="18"/>
                <w:szCs w:val="18"/>
              </w:rPr>
              <w:t>%</w:t>
            </w:r>
          </w:p>
        </w:tc>
        <w:tc>
          <w:tcPr>
            <w:tcW w:w="2266" w:type="dxa"/>
            <w:tcBorders>
              <w:top w:val="nil"/>
              <w:left w:val="nil"/>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一、政府性基金支出</w:t>
            </w:r>
          </w:p>
        </w:tc>
        <w:tc>
          <w:tcPr>
            <w:tcW w:w="79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sz w:val="18"/>
                <w:szCs w:val="18"/>
              </w:rPr>
              <w:t>132127</w:t>
            </w:r>
          </w:p>
        </w:tc>
        <w:tc>
          <w:tcPr>
            <w:tcW w:w="765"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138541</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104.85</w:t>
            </w:r>
            <w:r>
              <w:rPr>
                <w:rFonts w:hint="eastAsia" w:asciiTheme="minorEastAsia" w:hAnsiTheme="minorEastAsia" w:eastAsiaTheme="minorEastAsia"/>
                <w:color w:val="000000"/>
                <w:sz w:val="18"/>
                <w:szCs w:val="18"/>
              </w:rPr>
              <w:t>%</w:t>
            </w:r>
          </w:p>
        </w:tc>
      </w:tr>
      <w:tr>
        <w:tblPrEx>
          <w:tblCellMar>
            <w:top w:w="0" w:type="dxa"/>
            <w:left w:w="108" w:type="dxa"/>
            <w:bottom w:w="0" w:type="dxa"/>
            <w:right w:w="108" w:type="dxa"/>
          </w:tblCellMar>
        </w:tblPrEx>
        <w:trPr>
          <w:trHeight w:val="629" w:hRule="atLeast"/>
        </w:trPr>
        <w:tc>
          <w:tcPr>
            <w:tcW w:w="2307" w:type="dxa"/>
            <w:tcBorders>
              <w:top w:val="nil"/>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国有土地收益基金收入</w:t>
            </w:r>
          </w:p>
        </w:tc>
        <w:tc>
          <w:tcPr>
            <w:tcW w:w="85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7800</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1425</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18.27</w:t>
            </w:r>
            <w:r>
              <w:rPr>
                <w:rFonts w:hint="eastAsia" w:asciiTheme="minorEastAsia" w:hAnsiTheme="minorEastAsia" w:eastAsiaTheme="minorEastAsia"/>
                <w:color w:val="000000"/>
                <w:sz w:val="18"/>
                <w:szCs w:val="18"/>
              </w:rPr>
              <w:t>%</w:t>
            </w:r>
          </w:p>
        </w:tc>
        <w:tc>
          <w:tcPr>
            <w:tcW w:w="2266" w:type="dxa"/>
            <w:tcBorders>
              <w:top w:val="nil"/>
              <w:left w:val="nil"/>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207.文化旅游体育与传媒支出</w:t>
            </w:r>
          </w:p>
        </w:tc>
        <w:tc>
          <w:tcPr>
            <w:tcW w:w="794"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72</w:t>
            </w:r>
          </w:p>
        </w:tc>
        <w:tc>
          <w:tcPr>
            <w:tcW w:w="76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77</w:t>
            </w:r>
          </w:p>
        </w:tc>
        <w:tc>
          <w:tcPr>
            <w:tcW w:w="85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106.94</w:t>
            </w:r>
            <w:r>
              <w:rPr>
                <w:rFonts w:hint="eastAsia" w:asciiTheme="minorEastAsia" w:hAnsiTheme="minorEastAsia" w:eastAsiaTheme="minorEastAsia"/>
                <w:color w:val="000000"/>
                <w:sz w:val="18"/>
                <w:szCs w:val="18"/>
              </w:rPr>
              <w:t>%</w:t>
            </w:r>
          </w:p>
        </w:tc>
      </w:tr>
      <w:tr>
        <w:tblPrEx>
          <w:tblCellMar>
            <w:top w:w="0" w:type="dxa"/>
            <w:left w:w="108" w:type="dxa"/>
            <w:bottom w:w="0" w:type="dxa"/>
            <w:right w:w="108" w:type="dxa"/>
          </w:tblCellMar>
        </w:tblPrEx>
        <w:trPr>
          <w:trHeight w:val="607" w:hRule="atLeast"/>
        </w:trPr>
        <w:tc>
          <w:tcPr>
            <w:tcW w:w="2307" w:type="dxa"/>
            <w:tcBorders>
              <w:top w:val="nil"/>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农业土地开发资金收入</w:t>
            </w:r>
          </w:p>
        </w:tc>
        <w:tc>
          <w:tcPr>
            <w:tcW w:w="85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2266" w:type="dxa"/>
            <w:tcBorders>
              <w:top w:val="nil"/>
              <w:left w:val="nil"/>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208.社会保障和就业支出</w:t>
            </w:r>
          </w:p>
        </w:tc>
        <w:tc>
          <w:tcPr>
            <w:tcW w:w="794"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5656</w:t>
            </w:r>
          </w:p>
        </w:tc>
        <w:tc>
          <w:tcPr>
            <w:tcW w:w="76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5974</w:t>
            </w:r>
          </w:p>
        </w:tc>
        <w:tc>
          <w:tcPr>
            <w:tcW w:w="85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105.62</w:t>
            </w:r>
            <w:r>
              <w:rPr>
                <w:rFonts w:hint="eastAsia" w:asciiTheme="minorEastAsia" w:hAnsiTheme="minorEastAsia" w:eastAsiaTheme="minorEastAsia"/>
                <w:color w:val="000000"/>
                <w:sz w:val="18"/>
                <w:szCs w:val="18"/>
              </w:rPr>
              <w:t>%</w:t>
            </w:r>
          </w:p>
        </w:tc>
      </w:tr>
      <w:tr>
        <w:tblPrEx>
          <w:tblCellMar>
            <w:top w:w="0" w:type="dxa"/>
            <w:left w:w="108" w:type="dxa"/>
            <w:bottom w:w="0" w:type="dxa"/>
            <w:right w:w="108" w:type="dxa"/>
          </w:tblCellMar>
        </w:tblPrEx>
        <w:trPr>
          <w:trHeight w:val="613" w:hRule="atLeast"/>
        </w:trPr>
        <w:tc>
          <w:tcPr>
            <w:tcW w:w="2307" w:type="dxa"/>
            <w:tcBorders>
              <w:top w:val="nil"/>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国有土地使用权出让收入</w:t>
            </w:r>
          </w:p>
        </w:tc>
        <w:tc>
          <w:tcPr>
            <w:tcW w:w="85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32200</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30216</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93.84</w:t>
            </w:r>
            <w:r>
              <w:rPr>
                <w:rFonts w:hint="eastAsia" w:asciiTheme="minorEastAsia" w:hAnsiTheme="minorEastAsia" w:eastAsiaTheme="minorEastAsia"/>
                <w:color w:val="000000"/>
                <w:sz w:val="18"/>
                <w:szCs w:val="18"/>
              </w:rPr>
              <w:t>%</w:t>
            </w:r>
          </w:p>
        </w:tc>
        <w:tc>
          <w:tcPr>
            <w:tcW w:w="2266" w:type="dxa"/>
            <w:tcBorders>
              <w:top w:val="nil"/>
              <w:left w:val="nil"/>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212.城乡社区事务支出</w:t>
            </w:r>
          </w:p>
        </w:tc>
        <w:tc>
          <w:tcPr>
            <w:tcW w:w="794"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13832</w:t>
            </w:r>
          </w:p>
        </w:tc>
        <w:tc>
          <w:tcPr>
            <w:tcW w:w="76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19268</w:t>
            </w:r>
          </w:p>
        </w:tc>
        <w:tc>
          <w:tcPr>
            <w:tcW w:w="85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139.30</w:t>
            </w:r>
            <w:r>
              <w:rPr>
                <w:rFonts w:hint="eastAsia" w:asciiTheme="minorEastAsia" w:hAnsiTheme="minorEastAsia" w:eastAsiaTheme="minorEastAsia"/>
                <w:color w:val="000000"/>
                <w:sz w:val="18"/>
                <w:szCs w:val="18"/>
              </w:rPr>
              <w:t>%</w:t>
            </w:r>
          </w:p>
        </w:tc>
      </w:tr>
      <w:tr>
        <w:tblPrEx>
          <w:tblCellMar>
            <w:top w:w="0" w:type="dxa"/>
            <w:left w:w="108" w:type="dxa"/>
            <w:bottom w:w="0" w:type="dxa"/>
            <w:right w:w="108" w:type="dxa"/>
          </w:tblCellMar>
        </w:tblPrEx>
        <w:trPr>
          <w:trHeight w:val="619" w:hRule="atLeast"/>
        </w:trPr>
        <w:tc>
          <w:tcPr>
            <w:tcW w:w="2307" w:type="dxa"/>
            <w:tcBorders>
              <w:top w:val="nil"/>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城市基础设施配套费收入</w:t>
            </w:r>
          </w:p>
        </w:tc>
        <w:tc>
          <w:tcPr>
            <w:tcW w:w="85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945</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946</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100.11</w:t>
            </w:r>
            <w:r>
              <w:rPr>
                <w:rFonts w:hint="eastAsia" w:asciiTheme="minorEastAsia" w:hAnsiTheme="minorEastAsia" w:eastAsiaTheme="minorEastAsia"/>
                <w:color w:val="000000"/>
                <w:sz w:val="18"/>
                <w:szCs w:val="18"/>
              </w:rPr>
              <w:t>%</w:t>
            </w:r>
          </w:p>
        </w:tc>
        <w:tc>
          <w:tcPr>
            <w:tcW w:w="2266" w:type="dxa"/>
            <w:tcBorders>
              <w:top w:val="nil"/>
              <w:left w:val="nil"/>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213.农林水支出</w:t>
            </w:r>
          </w:p>
        </w:tc>
        <w:tc>
          <w:tcPr>
            <w:tcW w:w="794"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56740</w:t>
            </w:r>
          </w:p>
        </w:tc>
        <w:tc>
          <w:tcPr>
            <w:tcW w:w="76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56740</w:t>
            </w:r>
          </w:p>
        </w:tc>
        <w:tc>
          <w:tcPr>
            <w:tcW w:w="85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100.00</w:t>
            </w:r>
            <w:r>
              <w:rPr>
                <w:rFonts w:hint="eastAsia" w:asciiTheme="minorEastAsia" w:hAnsiTheme="minorEastAsia" w:eastAsiaTheme="minorEastAsia"/>
                <w:color w:val="000000"/>
                <w:sz w:val="18"/>
                <w:szCs w:val="18"/>
              </w:rPr>
              <w:t>%</w:t>
            </w:r>
          </w:p>
        </w:tc>
      </w:tr>
      <w:tr>
        <w:tblPrEx>
          <w:tblCellMar>
            <w:top w:w="0" w:type="dxa"/>
            <w:left w:w="108" w:type="dxa"/>
            <w:bottom w:w="0" w:type="dxa"/>
            <w:right w:w="108" w:type="dxa"/>
          </w:tblCellMar>
        </w:tblPrEx>
        <w:trPr>
          <w:trHeight w:val="611" w:hRule="atLeast"/>
        </w:trPr>
        <w:tc>
          <w:tcPr>
            <w:tcW w:w="2307" w:type="dxa"/>
            <w:tcBorders>
              <w:top w:val="nil"/>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污水处理费</w:t>
            </w:r>
          </w:p>
        </w:tc>
        <w:tc>
          <w:tcPr>
            <w:tcW w:w="85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615</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615</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100.00</w:t>
            </w:r>
            <w:r>
              <w:rPr>
                <w:rFonts w:hint="eastAsia" w:asciiTheme="minorEastAsia" w:hAnsiTheme="minorEastAsia" w:eastAsiaTheme="minorEastAsia"/>
                <w:color w:val="000000"/>
                <w:sz w:val="18"/>
                <w:szCs w:val="18"/>
              </w:rPr>
              <w:t>%</w:t>
            </w:r>
          </w:p>
        </w:tc>
        <w:tc>
          <w:tcPr>
            <w:tcW w:w="2266" w:type="dxa"/>
            <w:tcBorders>
              <w:top w:val="nil"/>
              <w:left w:val="nil"/>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214.交通</w:t>
            </w:r>
            <w:r>
              <w:rPr>
                <w:rFonts w:asciiTheme="minorEastAsia" w:hAnsiTheme="minorEastAsia" w:eastAsiaTheme="minorEastAsia"/>
                <w:color w:val="000000"/>
                <w:sz w:val="18"/>
                <w:szCs w:val="18"/>
              </w:rPr>
              <w:t>运输支出</w:t>
            </w:r>
          </w:p>
        </w:tc>
        <w:tc>
          <w:tcPr>
            <w:tcW w:w="794"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615</w:t>
            </w:r>
          </w:p>
        </w:tc>
        <w:tc>
          <w:tcPr>
            <w:tcW w:w="76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615</w:t>
            </w:r>
          </w:p>
        </w:tc>
        <w:tc>
          <w:tcPr>
            <w:tcW w:w="85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100.00</w:t>
            </w:r>
            <w:r>
              <w:rPr>
                <w:rFonts w:asciiTheme="minorEastAsia" w:hAnsiTheme="minorEastAsia" w:eastAsiaTheme="minorEastAsia"/>
                <w:color w:val="000000"/>
                <w:sz w:val="18"/>
                <w:szCs w:val="18"/>
              </w:rPr>
              <w:t>%</w:t>
            </w:r>
          </w:p>
        </w:tc>
      </w:tr>
      <w:tr>
        <w:tblPrEx>
          <w:tblCellMar>
            <w:top w:w="0" w:type="dxa"/>
            <w:left w:w="108" w:type="dxa"/>
            <w:bottom w:w="0" w:type="dxa"/>
            <w:right w:w="108" w:type="dxa"/>
          </w:tblCellMar>
        </w:tblPrEx>
        <w:trPr>
          <w:trHeight w:val="611" w:hRule="atLeast"/>
        </w:trPr>
        <w:tc>
          <w:tcPr>
            <w:tcW w:w="2307" w:type="dxa"/>
            <w:tcBorders>
              <w:top w:val="nil"/>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车辆</w:t>
            </w:r>
            <w:r>
              <w:rPr>
                <w:rFonts w:asciiTheme="minorEastAsia" w:hAnsiTheme="minorEastAsia" w:eastAsiaTheme="minorEastAsia"/>
                <w:color w:val="000000"/>
                <w:sz w:val="18"/>
                <w:szCs w:val="18"/>
              </w:rPr>
              <w:t>通行费</w:t>
            </w:r>
          </w:p>
        </w:tc>
        <w:tc>
          <w:tcPr>
            <w:tcW w:w="85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6</w:t>
            </w:r>
            <w:r>
              <w:rPr>
                <w:rFonts w:asciiTheme="minorEastAsia" w:hAnsiTheme="minorEastAsia" w:eastAsiaTheme="minorEastAsia"/>
                <w:color w:val="000000"/>
                <w:sz w:val="18"/>
                <w:szCs w:val="18"/>
              </w:rPr>
              <w:t>15</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7</w:t>
            </w:r>
            <w:r>
              <w:rPr>
                <w:rFonts w:asciiTheme="minorEastAsia" w:hAnsiTheme="minorEastAsia" w:eastAsiaTheme="minorEastAsia"/>
                <w:color w:val="000000"/>
                <w:sz w:val="18"/>
                <w:szCs w:val="18"/>
              </w:rPr>
              <w:t>24</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w:t>
            </w:r>
            <w:r>
              <w:rPr>
                <w:rFonts w:asciiTheme="minorEastAsia" w:hAnsiTheme="minorEastAsia" w:eastAsiaTheme="minorEastAsia"/>
                <w:color w:val="000000"/>
                <w:sz w:val="18"/>
                <w:szCs w:val="18"/>
              </w:rPr>
              <w:t>17.72%</w:t>
            </w:r>
          </w:p>
        </w:tc>
        <w:tc>
          <w:tcPr>
            <w:tcW w:w="2266" w:type="dxa"/>
            <w:tcBorders>
              <w:top w:val="nil"/>
              <w:left w:val="nil"/>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229.其他支出</w:t>
            </w:r>
          </w:p>
        </w:tc>
        <w:tc>
          <w:tcPr>
            <w:tcW w:w="794"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35296</w:t>
            </w:r>
          </w:p>
        </w:tc>
        <w:tc>
          <w:tcPr>
            <w:tcW w:w="76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35951</w:t>
            </w:r>
          </w:p>
        </w:tc>
        <w:tc>
          <w:tcPr>
            <w:tcW w:w="85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101.86%</w:t>
            </w:r>
          </w:p>
        </w:tc>
      </w:tr>
      <w:tr>
        <w:tblPrEx>
          <w:tblCellMar>
            <w:top w:w="0" w:type="dxa"/>
            <w:left w:w="108" w:type="dxa"/>
            <w:bottom w:w="0" w:type="dxa"/>
            <w:right w:w="108" w:type="dxa"/>
          </w:tblCellMar>
        </w:tblPrEx>
        <w:trPr>
          <w:trHeight w:val="619" w:hRule="atLeast"/>
        </w:trPr>
        <w:tc>
          <w:tcPr>
            <w:tcW w:w="2307" w:type="dxa"/>
            <w:tcBorders>
              <w:top w:val="nil"/>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专项</w:t>
            </w:r>
            <w:r>
              <w:rPr>
                <w:rFonts w:asciiTheme="minorEastAsia" w:hAnsiTheme="minorEastAsia" w:eastAsiaTheme="minorEastAsia"/>
                <w:color w:val="000000"/>
                <w:sz w:val="18"/>
                <w:szCs w:val="18"/>
              </w:rPr>
              <w:t>债券对应项目专项收入</w:t>
            </w:r>
          </w:p>
        </w:tc>
        <w:tc>
          <w:tcPr>
            <w:tcW w:w="85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w:t>
            </w:r>
            <w:r>
              <w:rPr>
                <w:rFonts w:asciiTheme="minorEastAsia" w:hAnsiTheme="minorEastAsia" w:eastAsiaTheme="minorEastAsia"/>
                <w:color w:val="000000"/>
                <w:sz w:val="18"/>
                <w:szCs w:val="18"/>
              </w:rPr>
              <w:t>455</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w:t>
            </w:r>
            <w:r>
              <w:rPr>
                <w:rFonts w:asciiTheme="minorEastAsia" w:hAnsiTheme="minorEastAsia" w:eastAsiaTheme="minorEastAsia"/>
                <w:color w:val="000000"/>
                <w:sz w:val="18"/>
                <w:szCs w:val="18"/>
              </w:rPr>
              <w:t>0812</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4</w:t>
            </w:r>
            <w:r>
              <w:rPr>
                <w:rFonts w:asciiTheme="minorEastAsia" w:hAnsiTheme="minorEastAsia" w:eastAsiaTheme="minorEastAsia"/>
                <w:color w:val="000000"/>
                <w:sz w:val="18"/>
                <w:szCs w:val="18"/>
              </w:rPr>
              <w:t>40.41%</w:t>
            </w:r>
          </w:p>
        </w:tc>
        <w:tc>
          <w:tcPr>
            <w:tcW w:w="226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Theme="minorEastAsia" w:hAnsiTheme="minorEastAsia" w:eastAsiaTheme="minorEastAsia"/>
                <w:color w:val="000000"/>
                <w:kern w:val="0"/>
                <w:sz w:val="18"/>
                <w:szCs w:val="18"/>
              </w:rPr>
            </w:pPr>
            <w:r>
              <w:rPr>
                <w:rFonts w:hint="eastAsia" w:asciiTheme="minorEastAsia" w:hAnsiTheme="minorEastAsia" w:eastAsiaTheme="minorEastAsia"/>
                <w:color w:val="000000"/>
                <w:sz w:val="18"/>
                <w:szCs w:val="18"/>
              </w:rPr>
              <w:t>232.债务付息支出</w:t>
            </w:r>
          </w:p>
        </w:tc>
        <w:tc>
          <w:tcPr>
            <w:tcW w:w="794"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5964</w:t>
            </w:r>
          </w:p>
        </w:tc>
        <w:tc>
          <w:tcPr>
            <w:tcW w:w="76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5964</w:t>
            </w:r>
          </w:p>
        </w:tc>
        <w:tc>
          <w:tcPr>
            <w:tcW w:w="85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100.00%</w:t>
            </w:r>
          </w:p>
        </w:tc>
      </w:tr>
      <w:tr>
        <w:tblPrEx>
          <w:tblCellMar>
            <w:top w:w="0" w:type="dxa"/>
            <w:left w:w="108" w:type="dxa"/>
            <w:bottom w:w="0" w:type="dxa"/>
            <w:right w:w="108" w:type="dxa"/>
          </w:tblCellMar>
        </w:tblPrEx>
        <w:trPr>
          <w:trHeight w:val="597" w:hRule="atLeast"/>
        </w:trPr>
        <w:tc>
          <w:tcPr>
            <w:tcW w:w="2307" w:type="dxa"/>
            <w:tcBorders>
              <w:top w:val="nil"/>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p>
        </w:tc>
        <w:tc>
          <w:tcPr>
            <w:tcW w:w="85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p>
        </w:tc>
        <w:tc>
          <w:tcPr>
            <w:tcW w:w="851"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p>
        </w:tc>
        <w:tc>
          <w:tcPr>
            <w:tcW w:w="852"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p>
        </w:tc>
        <w:tc>
          <w:tcPr>
            <w:tcW w:w="2266" w:type="dxa"/>
            <w:tcBorders>
              <w:top w:val="nil"/>
              <w:left w:val="single" w:color="auto" w:sz="4" w:space="0"/>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233.债务发行费用支出</w:t>
            </w:r>
          </w:p>
        </w:tc>
        <w:tc>
          <w:tcPr>
            <w:tcW w:w="794"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39</w:t>
            </w:r>
          </w:p>
        </w:tc>
        <w:tc>
          <w:tcPr>
            <w:tcW w:w="76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39</w:t>
            </w:r>
          </w:p>
        </w:tc>
        <w:tc>
          <w:tcPr>
            <w:tcW w:w="85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100.00%</w:t>
            </w:r>
          </w:p>
        </w:tc>
      </w:tr>
      <w:tr>
        <w:tblPrEx>
          <w:tblCellMar>
            <w:top w:w="0" w:type="dxa"/>
            <w:left w:w="108" w:type="dxa"/>
            <w:bottom w:w="0" w:type="dxa"/>
            <w:right w:w="108" w:type="dxa"/>
          </w:tblCellMar>
        </w:tblPrEx>
        <w:trPr>
          <w:trHeight w:val="517" w:hRule="atLeast"/>
        </w:trPr>
        <w:tc>
          <w:tcPr>
            <w:tcW w:w="2307" w:type="dxa"/>
            <w:tcBorders>
              <w:top w:val="nil"/>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5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226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Theme="minorEastAsia" w:hAnsiTheme="minorEastAsia" w:eastAsiaTheme="minorEastAsia"/>
                <w:color w:val="000000"/>
                <w:kern w:val="0"/>
                <w:sz w:val="18"/>
                <w:szCs w:val="18"/>
              </w:rPr>
            </w:pPr>
            <w:r>
              <w:rPr>
                <w:rFonts w:hint="eastAsia" w:asciiTheme="minorEastAsia" w:hAnsiTheme="minorEastAsia" w:eastAsiaTheme="minorEastAsia"/>
                <w:color w:val="000000"/>
                <w:kern w:val="0"/>
                <w:sz w:val="18"/>
                <w:szCs w:val="18"/>
              </w:rPr>
              <w:t>234.抗疫</w:t>
            </w:r>
            <w:r>
              <w:rPr>
                <w:rFonts w:asciiTheme="minorEastAsia" w:hAnsiTheme="minorEastAsia" w:eastAsiaTheme="minorEastAsia"/>
                <w:color w:val="000000"/>
                <w:kern w:val="0"/>
                <w:sz w:val="18"/>
                <w:szCs w:val="18"/>
              </w:rPr>
              <w:t>特别国债安排的支出</w:t>
            </w:r>
          </w:p>
        </w:tc>
        <w:tc>
          <w:tcPr>
            <w:tcW w:w="794"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w:t>
            </w:r>
            <w:r>
              <w:rPr>
                <w:rFonts w:asciiTheme="minorEastAsia" w:hAnsiTheme="minorEastAsia" w:eastAsiaTheme="minorEastAsia"/>
                <w:color w:val="000000"/>
                <w:sz w:val="18"/>
                <w:szCs w:val="18"/>
              </w:rPr>
              <w:t>3913</w:t>
            </w:r>
          </w:p>
        </w:tc>
        <w:tc>
          <w:tcPr>
            <w:tcW w:w="76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w:t>
            </w:r>
            <w:r>
              <w:rPr>
                <w:rFonts w:asciiTheme="minorEastAsia" w:hAnsiTheme="minorEastAsia" w:eastAsiaTheme="minorEastAsia"/>
                <w:color w:val="000000"/>
                <w:sz w:val="18"/>
                <w:szCs w:val="18"/>
              </w:rPr>
              <w:t>3913</w:t>
            </w:r>
          </w:p>
        </w:tc>
        <w:tc>
          <w:tcPr>
            <w:tcW w:w="85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w:t>
            </w:r>
            <w:r>
              <w:rPr>
                <w:rFonts w:asciiTheme="minorEastAsia" w:hAnsiTheme="minorEastAsia" w:eastAsiaTheme="minorEastAsia"/>
                <w:color w:val="000000"/>
                <w:sz w:val="18"/>
                <w:szCs w:val="18"/>
              </w:rPr>
              <w:t>00.00%</w:t>
            </w:r>
          </w:p>
        </w:tc>
      </w:tr>
      <w:tr>
        <w:tblPrEx>
          <w:tblCellMar>
            <w:top w:w="0" w:type="dxa"/>
            <w:left w:w="108" w:type="dxa"/>
            <w:bottom w:w="0" w:type="dxa"/>
            <w:right w:w="108" w:type="dxa"/>
          </w:tblCellMar>
        </w:tblPrEx>
        <w:trPr>
          <w:trHeight w:val="621" w:hRule="atLeast"/>
        </w:trPr>
        <w:tc>
          <w:tcPr>
            <w:tcW w:w="2307" w:type="dxa"/>
            <w:tcBorders>
              <w:top w:val="nil"/>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二、上年结转收入</w:t>
            </w:r>
          </w:p>
        </w:tc>
        <w:tc>
          <w:tcPr>
            <w:tcW w:w="85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10338</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10359</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100.20</w:t>
            </w:r>
            <w:r>
              <w:rPr>
                <w:rFonts w:hint="eastAsia" w:asciiTheme="minorEastAsia" w:hAnsiTheme="minorEastAsia" w:eastAsiaTheme="minorEastAsia"/>
                <w:color w:val="000000"/>
                <w:sz w:val="18"/>
                <w:szCs w:val="18"/>
              </w:rPr>
              <w:t>%</w:t>
            </w:r>
          </w:p>
        </w:tc>
        <w:tc>
          <w:tcPr>
            <w:tcW w:w="2266" w:type="dxa"/>
            <w:tcBorders>
              <w:top w:val="nil"/>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二、债务还本支出</w:t>
            </w:r>
          </w:p>
        </w:tc>
        <w:tc>
          <w:tcPr>
            <w:tcW w:w="794"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5252　</w:t>
            </w:r>
          </w:p>
        </w:tc>
        <w:tc>
          <w:tcPr>
            <w:tcW w:w="76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5252</w:t>
            </w:r>
          </w:p>
        </w:tc>
        <w:tc>
          <w:tcPr>
            <w:tcW w:w="85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100.00%</w:t>
            </w:r>
          </w:p>
        </w:tc>
      </w:tr>
      <w:tr>
        <w:tblPrEx>
          <w:tblCellMar>
            <w:top w:w="0" w:type="dxa"/>
            <w:left w:w="108" w:type="dxa"/>
            <w:bottom w:w="0" w:type="dxa"/>
            <w:right w:w="108" w:type="dxa"/>
          </w:tblCellMar>
        </w:tblPrEx>
        <w:trPr>
          <w:trHeight w:val="541" w:hRule="atLeast"/>
        </w:trPr>
        <w:tc>
          <w:tcPr>
            <w:tcW w:w="2307" w:type="dxa"/>
            <w:tcBorders>
              <w:top w:val="nil"/>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三、债券转贷收入</w:t>
            </w:r>
          </w:p>
        </w:tc>
        <w:tc>
          <w:tcPr>
            <w:tcW w:w="85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38752</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38752</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100.00</w:t>
            </w:r>
            <w:r>
              <w:rPr>
                <w:rFonts w:hint="eastAsia" w:asciiTheme="minorEastAsia" w:hAnsiTheme="minorEastAsia" w:eastAsiaTheme="minorEastAsia"/>
                <w:color w:val="000000"/>
                <w:sz w:val="18"/>
                <w:szCs w:val="18"/>
              </w:rPr>
              <w:t>%</w:t>
            </w:r>
          </w:p>
        </w:tc>
        <w:tc>
          <w:tcPr>
            <w:tcW w:w="2266" w:type="dxa"/>
            <w:tcBorders>
              <w:top w:val="nil"/>
              <w:left w:val="nil"/>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三、调出资金</w:t>
            </w:r>
          </w:p>
        </w:tc>
        <w:tc>
          <w:tcPr>
            <w:tcW w:w="794"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3800　</w:t>
            </w:r>
          </w:p>
        </w:tc>
        <w:tc>
          <w:tcPr>
            <w:tcW w:w="76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3</w:t>
            </w:r>
            <w:r>
              <w:rPr>
                <w:rFonts w:asciiTheme="minorEastAsia" w:hAnsiTheme="minorEastAsia" w:eastAsiaTheme="minorEastAsia"/>
                <w:color w:val="000000"/>
                <w:sz w:val="18"/>
                <w:szCs w:val="18"/>
              </w:rPr>
              <w:t>800</w:t>
            </w:r>
          </w:p>
        </w:tc>
        <w:tc>
          <w:tcPr>
            <w:tcW w:w="85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w:t>
            </w:r>
            <w:r>
              <w:rPr>
                <w:rFonts w:asciiTheme="minorEastAsia" w:hAnsiTheme="minorEastAsia" w:eastAsiaTheme="minorEastAsia"/>
                <w:color w:val="000000"/>
                <w:sz w:val="18"/>
                <w:szCs w:val="18"/>
              </w:rPr>
              <w:t>00.00%</w:t>
            </w:r>
          </w:p>
        </w:tc>
      </w:tr>
      <w:tr>
        <w:tblPrEx>
          <w:tblCellMar>
            <w:top w:w="0" w:type="dxa"/>
            <w:left w:w="108" w:type="dxa"/>
            <w:bottom w:w="0" w:type="dxa"/>
            <w:right w:w="108" w:type="dxa"/>
          </w:tblCellMar>
        </w:tblPrEx>
        <w:trPr>
          <w:trHeight w:val="617" w:hRule="atLeast"/>
        </w:trPr>
        <w:tc>
          <w:tcPr>
            <w:tcW w:w="2307" w:type="dxa"/>
            <w:tcBorders>
              <w:top w:val="nil"/>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四、专项转移支付收入</w:t>
            </w:r>
          </w:p>
        </w:tc>
        <w:tc>
          <w:tcPr>
            <w:tcW w:w="85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78845</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78955</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100.14</w:t>
            </w:r>
            <w:r>
              <w:rPr>
                <w:rFonts w:hint="eastAsia" w:asciiTheme="minorEastAsia" w:hAnsiTheme="minorEastAsia" w:eastAsiaTheme="minorEastAsia"/>
                <w:color w:val="000000"/>
                <w:sz w:val="18"/>
                <w:szCs w:val="18"/>
              </w:rPr>
              <w:t>%</w:t>
            </w:r>
          </w:p>
        </w:tc>
        <w:tc>
          <w:tcPr>
            <w:tcW w:w="2266" w:type="dxa"/>
            <w:tcBorders>
              <w:top w:val="nil"/>
              <w:left w:val="nil"/>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四、上解资金</w:t>
            </w:r>
          </w:p>
        </w:tc>
        <w:tc>
          <w:tcPr>
            <w:tcW w:w="794"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76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5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r>
      <w:tr>
        <w:tblPrEx>
          <w:tblCellMar>
            <w:top w:w="0" w:type="dxa"/>
            <w:left w:w="108" w:type="dxa"/>
            <w:bottom w:w="0" w:type="dxa"/>
            <w:right w:w="108" w:type="dxa"/>
          </w:tblCellMar>
        </w:tblPrEx>
        <w:trPr>
          <w:trHeight w:val="551" w:hRule="atLeast"/>
        </w:trPr>
        <w:tc>
          <w:tcPr>
            <w:tcW w:w="2307" w:type="dxa"/>
            <w:tcBorders>
              <w:top w:val="nil"/>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五、调入资金</w:t>
            </w:r>
          </w:p>
        </w:tc>
        <w:tc>
          <w:tcPr>
            <w:tcW w:w="85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2266" w:type="dxa"/>
            <w:tcBorders>
              <w:top w:val="nil"/>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p>
        </w:tc>
        <w:tc>
          <w:tcPr>
            <w:tcW w:w="794"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76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5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r>
      <w:tr>
        <w:tblPrEx>
          <w:tblCellMar>
            <w:top w:w="0" w:type="dxa"/>
            <w:left w:w="108" w:type="dxa"/>
            <w:bottom w:w="0" w:type="dxa"/>
            <w:right w:w="108" w:type="dxa"/>
          </w:tblCellMar>
        </w:tblPrEx>
        <w:trPr>
          <w:trHeight w:val="427" w:hRule="atLeast"/>
        </w:trPr>
        <w:tc>
          <w:tcPr>
            <w:tcW w:w="2307"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5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2266" w:type="dxa"/>
            <w:tcBorders>
              <w:top w:val="nil"/>
              <w:left w:val="nil"/>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p>
        </w:tc>
        <w:tc>
          <w:tcPr>
            <w:tcW w:w="794"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76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5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r>
      <w:tr>
        <w:tblPrEx>
          <w:tblCellMar>
            <w:top w:w="0" w:type="dxa"/>
            <w:left w:w="108" w:type="dxa"/>
            <w:bottom w:w="0" w:type="dxa"/>
            <w:right w:w="108" w:type="dxa"/>
          </w:tblCellMar>
        </w:tblPrEx>
        <w:trPr>
          <w:trHeight w:val="557" w:hRule="atLeast"/>
        </w:trPr>
        <w:tc>
          <w:tcPr>
            <w:tcW w:w="2307"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收入合计</w:t>
            </w:r>
          </w:p>
        </w:tc>
        <w:tc>
          <w:tcPr>
            <w:tcW w:w="850"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172565</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172804</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100.14</w:t>
            </w:r>
            <w:r>
              <w:rPr>
                <w:rFonts w:hint="eastAsia" w:asciiTheme="minorEastAsia" w:hAnsiTheme="minorEastAsia" w:eastAsiaTheme="minorEastAsia"/>
                <w:color w:val="000000"/>
                <w:sz w:val="18"/>
                <w:szCs w:val="18"/>
              </w:rPr>
              <w:t>%</w:t>
            </w:r>
          </w:p>
        </w:tc>
        <w:tc>
          <w:tcPr>
            <w:tcW w:w="2266" w:type="dxa"/>
            <w:tcBorders>
              <w:top w:val="nil"/>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支出合计</w:t>
            </w:r>
          </w:p>
        </w:tc>
        <w:tc>
          <w:tcPr>
            <w:tcW w:w="794"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141179</w:t>
            </w:r>
          </w:p>
        </w:tc>
        <w:tc>
          <w:tcPr>
            <w:tcW w:w="76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147593</w:t>
            </w:r>
          </w:p>
        </w:tc>
        <w:tc>
          <w:tcPr>
            <w:tcW w:w="85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104.54%</w:t>
            </w:r>
          </w:p>
        </w:tc>
      </w:tr>
      <w:tr>
        <w:tblPrEx>
          <w:tblCellMar>
            <w:top w:w="0" w:type="dxa"/>
            <w:left w:w="108" w:type="dxa"/>
            <w:bottom w:w="0" w:type="dxa"/>
            <w:right w:w="108" w:type="dxa"/>
          </w:tblCellMar>
        </w:tblPrEx>
        <w:trPr>
          <w:trHeight w:val="491" w:hRule="atLeast"/>
        </w:trPr>
        <w:tc>
          <w:tcPr>
            <w:tcW w:w="2307"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52" w:type="dxa"/>
            <w:tcBorders>
              <w:top w:val="single" w:color="auto" w:sz="4" w:space="0"/>
              <w:left w:val="nil"/>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2266" w:type="dxa"/>
            <w:tcBorders>
              <w:top w:val="nil"/>
              <w:left w:val="nil"/>
              <w:bottom w:val="single" w:color="auto" w:sz="4" w:space="0"/>
              <w:right w:val="single" w:color="auto" w:sz="4" w:space="0"/>
            </w:tcBorders>
            <w:shd w:val="clear" w:color="auto" w:fill="auto"/>
            <w:noWrap/>
            <w:vAlign w:val="center"/>
          </w:tcPr>
          <w:p>
            <w:pPr>
              <w:spacing w:line="40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xml:space="preserve">   结转下年</w:t>
            </w:r>
          </w:p>
        </w:tc>
        <w:tc>
          <w:tcPr>
            <w:tcW w:w="794"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31386</w:t>
            </w:r>
          </w:p>
        </w:tc>
        <w:tc>
          <w:tcPr>
            <w:tcW w:w="76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25211</w:t>
            </w:r>
          </w:p>
        </w:tc>
        <w:tc>
          <w:tcPr>
            <w:tcW w:w="85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80.33%</w:t>
            </w:r>
          </w:p>
        </w:tc>
      </w:tr>
    </w:tbl>
    <w:p>
      <w:pPr>
        <w:rPr>
          <w:rFonts w:ascii="黑体" w:hAnsi="黑体" w:eastAsia="黑体" w:cs="宋体"/>
          <w:color w:val="000000"/>
          <w:kern w:val="0"/>
          <w:sz w:val="36"/>
          <w:szCs w:val="36"/>
        </w:rPr>
      </w:pPr>
      <w:r>
        <w:rPr>
          <w:rFonts w:hint="eastAsia" w:ascii="黑体" w:hAnsi="黑体" w:eastAsia="黑体" w:cs="宋体"/>
          <w:color w:val="000000"/>
          <w:kern w:val="0"/>
          <w:sz w:val="36"/>
          <w:szCs w:val="36"/>
        </w:rPr>
        <w:t xml:space="preserve">附件2-03   </w:t>
      </w:r>
    </w:p>
    <w:p>
      <w:pPr>
        <w:spacing w:line="500" w:lineRule="exact"/>
        <w:jc w:val="center"/>
        <w:rPr>
          <w:rFonts w:ascii="方正小标宋简体" w:eastAsia="方正小标宋简体"/>
          <w:sz w:val="36"/>
          <w:szCs w:val="36"/>
        </w:rPr>
      </w:pPr>
      <w:r>
        <w:rPr>
          <w:rFonts w:hint="eastAsia" w:ascii="方正小标宋简体" w:eastAsia="方正小标宋简体"/>
          <w:sz w:val="36"/>
          <w:szCs w:val="36"/>
        </w:rPr>
        <w:t>20</w:t>
      </w:r>
      <w:r>
        <w:rPr>
          <w:rFonts w:ascii="方正小标宋简体" w:eastAsia="方正小标宋简体"/>
          <w:sz w:val="36"/>
          <w:szCs w:val="36"/>
        </w:rPr>
        <w:t>20</w:t>
      </w:r>
      <w:r>
        <w:rPr>
          <w:rFonts w:hint="eastAsia" w:ascii="方正小标宋简体" w:eastAsia="方正小标宋简体"/>
          <w:sz w:val="36"/>
          <w:szCs w:val="36"/>
        </w:rPr>
        <w:t>年社会保险基金预算执行情况表</w:t>
      </w:r>
    </w:p>
    <w:p>
      <w:pPr>
        <w:spacing w:line="340" w:lineRule="exact"/>
        <w:ind w:firstLine="7875" w:firstLineChars="3750"/>
        <w:rPr>
          <w:rFonts w:ascii="宋体" w:hAnsi="宋体" w:cs="宋体"/>
          <w:color w:val="000000"/>
          <w:sz w:val="24"/>
        </w:rPr>
      </w:pPr>
      <w:r>
        <w:rPr>
          <w:rFonts w:hint="eastAsia"/>
          <w:color w:val="000000"/>
        </w:rPr>
        <w:t>单位：万元</w:t>
      </w:r>
    </w:p>
    <w:tbl>
      <w:tblPr>
        <w:tblStyle w:val="7"/>
        <w:tblW w:w="9540" w:type="dxa"/>
        <w:jc w:val="center"/>
        <w:tblLayout w:type="fixed"/>
        <w:tblCellMar>
          <w:top w:w="0" w:type="dxa"/>
          <w:left w:w="108" w:type="dxa"/>
          <w:bottom w:w="0" w:type="dxa"/>
          <w:right w:w="108" w:type="dxa"/>
        </w:tblCellMar>
      </w:tblPr>
      <w:tblGrid>
        <w:gridCol w:w="2160"/>
        <w:gridCol w:w="855"/>
        <w:gridCol w:w="851"/>
        <w:gridCol w:w="992"/>
        <w:gridCol w:w="2162"/>
        <w:gridCol w:w="815"/>
        <w:gridCol w:w="805"/>
        <w:gridCol w:w="900"/>
      </w:tblGrid>
      <w:tr>
        <w:tblPrEx>
          <w:tblCellMar>
            <w:top w:w="0" w:type="dxa"/>
            <w:left w:w="108" w:type="dxa"/>
            <w:bottom w:w="0" w:type="dxa"/>
            <w:right w:w="108" w:type="dxa"/>
          </w:tblCellMar>
        </w:tblPrEx>
        <w:trPr>
          <w:trHeight w:val="460" w:hRule="atLeast"/>
          <w:jc w:val="center"/>
        </w:trPr>
        <w:tc>
          <w:tcPr>
            <w:tcW w:w="4858"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40" w:lineRule="exact"/>
              <w:jc w:val="center"/>
              <w:rPr>
                <w:rFonts w:ascii="宋体" w:hAnsi="宋体" w:cs="宋体"/>
                <w:b/>
                <w:bCs/>
                <w:color w:val="000000"/>
                <w:kern w:val="0"/>
                <w:sz w:val="28"/>
                <w:szCs w:val="28"/>
              </w:rPr>
            </w:pPr>
            <w:r>
              <w:rPr>
                <w:rFonts w:hint="eastAsia" w:ascii="宋体" w:hAnsi="宋体" w:cs="宋体"/>
                <w:b/>
                <w:bCs/>
                <w:color w:val="000000"/>
                <w:kern w:val="0"/>
                <w:sz w:val="28"/>
                <w:szCs w:val="28"/>
              </w:rPr>
              <w:t>收     入</w:t>
            </w:r>
          </w:p>
        </w:tc>
        <w:tc>
          <w:tcPr>
            <w:tcW w:w="4682"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340" w:lineRule="exact"/>
              <w:jc w:val="center"/>
              <w:rPr>
                <w:rFonts w:ascii="宋体" w:hAnsi="宋体" w:cs="宋体"/>
                <w:b/>
                <w:bCs/>
                <w:color w:val="000000"/>
                <w:kern w:val="0"/>
                <w:sz w:val="28"/>
                <w:szCs w:val="28"/>
              </w:rPr>
            </w:pPr>
            <w:r>
              <w:rPr>
                <w:rFonts w:hint="eastAsia" w:ascii="宋体" w:hAnsi="宋体" w:cs="宋体"/>
                <w:b/>
                <w:bCs/>
                <w:color w:val="000000"/>
                <w:kern w:val="0"/>
                <w:sz w:val="28"/>
                <w:szCs w:val="28"/>
              </w:rPr>
              <w:t>支      出</w:t>
            </w:r>
          </w:p>
        </w:tc>
      </w:tr>
      <w:tr>
        <w:tblPrEx>
          <w:tblCellMar>
            <w:top w:w="0" w:type="dxa"/>
            <w:left w:w="108" w:type="dxa"/>
            <w:bottom w:w="0" w:type="dxa"/>
            <w:right w:w="108" w:type="dxa"/>
          </w:tblCellMar>
        </w:tblPrEx>
        <w:trPr>
          <w:trHeight w:val="759" w:hRule="atLeast"/>
          <w:jc w:val="center"/>
        </w:trPr>
        <w:tc>
          <w:tcPr>
            <w:tcW w:w="2160" w:type="dxa"/>
            <w:tcBorders>
              <w:top w:val="nil"/>
              <w:left w:val="single" w:color="auto" w:sz="4" w:space="0"/>
              <w:bottom w:val="single" w:color="auto" w:sz="4" w:space="0"/>
              <w:right w:val="single" w:color="auto" w:sz="4" w:space="0"/>
            </w:tcBorders>
            <w:shd w:val="clear" w:color="auto" w:fill="auto"/>
            <w:vAlign w:val="center"/>
          </w:tcPr>
          <w:p>
            <w:pPr>
              <w:widowControl/>
              <w:spacing w:line="340" w:lineRule="exact"/>
              <w:jc w:val="center"/>
              <w:rPr>
                <w:rFonts w:ascii="宋体" w:hAnsi="宋体" w:cs="宋体"/>
                <w:color w:val="000000"/>
                <w:kern w:val="0"/>
                <w:sz w:val="18"/>
                <w:szCs w:val="18"/>
              </w:rPr>
            </w:pPr>
            <w:r>
              <w:rPr>
                <w:rFonts w:hint="eastAsia" w:ascii="宋体" w:hAnsi="宋体" w:cs="宋体"/>
                <w:color w:val="000000"/>
                <w:kern w:val="0"/>
                <w:sz w:val="18"/>
                <w:szCs w:val="18"/>
              </w:rPr>
              <w:t>项    目</w:t>
            </w:r>
          </w:p>
        </w:tc>
        <w:tc>
          <w:tcPr>
            <w:tcW w:w="855" w:type="dxa"/>
            <w:tcBorders>
              <w:top w:val="nil"/>
              <w:left w:val="nil"/>
              <w:bottom w:val="single" w:color="auto" w:sz="4" w:space="0"/>
              <w:right w:val="single" w:color="auto" w:sz="4" w:space="0"/>
            </w:tcBorders>
            <w:shd w:val="clear" w:color="auto" w:fill="auto"/>
            <w:vAlign w:val="center"/>
          </w:tcPr>
          <w:p>
            <w:pPr>
              <w:widowControl/>
              <w:spacing w:line="340" w:lineRule="exact"/>
              <w:jc w:val="center"/>
              <w:rPr>
                <w:rFonts w:ascii="宋体" w:hAnsi="宋体" w:cs="宋体"/>
                <w:color w:val="000000"/>
                <w:kern w:val="0"/>
                <w:sz w:val="18"/>
                <w:szCs w:val="18"/>
              </w:rPr>
            </w:pPr>
            <w:r>
              <w:rPr>
                <w:rFonts w:hint="eastAsia" w:ascii="宋体" w:hAnsi="宋体" w:cs="宋体"/>
                <w:color w:val="000000"/>
                <w:kern w:val="0"/>
                <w:sz w:val="18"/>
                <w:szCs w:val="18"/>
              </w:rPr>
              <w:t>调 整</w:t>
            </w:r>
          </w:p>
          <w:p>
            <w:pPr>
              <w:widowControl/>
              <w:spacing w:line="340" w:lineRule="exact"/>
              <w:jc w:val="center"/>
              <w:rPr>
                <w:rFonts w:ascii="宋体" w:hAnsi="宋体" w:cs="宋体"/>
                <w:color w:val="000000"/>
                <w:kern w:val="0"/>
                <w:sz w:val="18"/>
                <w:szCs w:val="18"/>
              </w:rPr>
            </w:pPr>
            <w:r>
              <w:rPr>
                <w:rFonts w:hint="eastAsia" w:ascii="宋体" w:hAnsi="宋体" w:cs="宋体"/>
                <w:color w:val="000000"/>
                <w:kern w:val="0"/>
                <w:sz w:val="18"/>
                <w:szCs w:val="18"/>
              </w:rPr>
              <w:t>预算数</w:t>
            </w:r>
          </w:p>
        </w:tc>
        <w:tc>
          <w:tcPr>
            <w:tcW w:w="851" w:type="dxa"/>
            <w:tcBorders>
              <w:top w:val="nil"/>
              <w:left w:val="nil"/>
              <w:bottom w:val="single" w:color="auto" w:sz="4" w:space="0"/>
              <w:right w:val="single" w:color="auto" w:sz="4" w:space="0"/>
            </w:tcBorders>
            <w:shd w:val="clear" w:color="auto" w:fill="auto"/>
            <w:vAlign w:val="center"/>
          </w:tcPr>
          <w:p>
            <w:pPr>
              <w:widowControl/>
              <w:spacing w:line="340" w:lineRule="exact"/>
              <w:jc w:val="center"/>
              <w:rPr>
                <w:rFonts w:ascii="宋体" w:hAnsi="宋体" w:cs="宋体"/>
                <w:color w:val="000000"/>
                <w:kern w:val="0"/>
                <w:sz w:val="18"/>
                <w:szCs w:val="18"/>
              </w:rPr>
            </w:pPr>
            <w:r>
              <w:rPr>
                <w:rFonts w:hint="eastAsia" w:ascii="宋体" w:hAnsi="宋体" w:cs="宋体"/>
                <w:color w:val="000000"/>
                <w:kern w:val="0"/>
                <w:sz w:val="18"/>
                <w:szCs w:val="18"/>
              </w:rPr>
              <w:t>全 年</w:t>
            </w:r>
          </w:p>
          <w:p>
            <w:pPr>
              <w:widowControl/>
              <w:spacing w:line="340" w:lineRule="exact"/>
              <w:jc w:val="center"/>
              <w:rPr>
                <w:rFonts w:ascii="宋体" w:hAnsi="宋体" w:cs="宋体"/>
                <w:color w:val="000000"/>
                <w:kern w:val="0"/>
                <w:sz w:val="18"/>
                <w:szCs w:val="18"/>
              </w:rPr>
            </w:pPr>
            <w:r>
              <w:rPr>
                <w:rFonts w:hint="eastAsia" w:ascii="宋体" w:hAnsi="宋体" w:cs="宋体"/>
                <w:color w:val="000000"/>
                <w:kern w:val="0"/>
                <w:sz w:val="18"/>
                <w:szCs w:val="18"/>
              </w:rPr>
              <w:t>执行数</w:t>
            </w:r>
          </w:p>
        </w:tc>
        <w:tc>
          <w:tcPr>
            <w:tcW w:w="992" w:type="dxa"/>
            <w:tcBorders>
              <w:top w:val="nil"/>
              <w:left w:val="nil"/>
              <w:bottom w:val="single" w:color="auto" w:sz="4" w:space="0"/>
              <w:right w:val="single" w:color="auto" w:sz="4" w:space="0"/>
            </w:tcBorders>
            <w:shd w:val="clear" w:color="auto" w:fill="auto"/>
            <w:vAlign w:val="center"/>
          </w:tcPr>
          <w:p>
            <w:pPr>
              <w:widowControl/>
              <w:spacing w:line="340" w:lineRule="exact"/>
              <w:jc w:val="center"/>
              <w:rPr>
                <w:rFonts w:ascii="宋体" w:hAnsi="宋体" w:cs="宋体"/>
                <w:color w:val="000000"/>
                <w:kern w:val="0"/>
                <w:sz w:val="18"/>
                <w:szCs w:val="18"/>
              </w:rPr>
            </w:pPr>
            <w:r>
              <w:rPr>
                <w:rFonts w:hint="eastAsia" w:ascii="宋体" w:hAnsi="宋体" w:cs="宋体"/>
                <w:color w:val="000000"/>
                <w:kern w:val="0"/>
                <w:sz w:val="18"/>
                <w:szCs w:val="18"/>
              </w:rPr>
              <w:t>占预算调整的%</w:t>
            </w:r>
          </w:p>
        </w:tc>
        <w:tc>
          <w:tcPr>
            <w:tcW w:w="2162" w:type="dxa"/>
            <w:tcBorders>
              <w:top w:val="nil"/>
              <w:left w:val="nil"/>
              <w:bottom w:val="single" w:color="auto" w:sz="4" w:space="0"/>
              <w:right w:val="single" w:color="auto" w:sz="4" w:space="0"/>
            </w:tcBorders>
            <w:shd w:val="clear" w:color="auto" w:fill="auto"/>
            <w:vAlign w:val="center"/>
          </w:tcPr>
          <w:p>
            <w:pPr>
              <w:widowControl/>
              <w:spacing w:line="340" w:lineRule="exact"/>
              <w:jc w:val="center"/>
              <w:rPr>
                <w:rFonts w:ascii="宋体" w:hAnsi="宋体" w:cs="宋体"/>
                <w:color w:val="000000"/>
                <w:kern w:val="0"/>
                <w:sz w:val="18"/>
                <w:szCs w:val="18"/>
              </w:rPr>
            </w:pPr>
            <w:r>
              <w:rPr>
                <w:rFonts w:hint="eastAsia" w:ascii="宋体" w:hAnsi="宋体" w:cs="宋体"/>
                <w:color w:val="000000"/>
                <w:kern w:val="0"/>
                <w:sz w:val="18"/>
                <w:szCs w:val="18"/>
              </w:rPr>
              <w:t>项   目</w:t>
            </w:r>
          </w:p>
        </w:tc>
        <w:tc>
          <w:tcPr>
            <w:tcW w:w="815" w:type="dxa"/>
            <w:tcBorders>
              <w:top w:val="nil"/>
              <w:left w:val="nil"/>
              <w:bottom w:val="single" w:color="auto" w:sz="4" w:space="0"/>
              <w:right w:val="single" w:color="auto" w:sz="4" w:space="0"/>
            </w:tcBorders>
            <w:shd w:val="clear" w:color="auto" w:fill="auto"/>
            <w:vAlign w:val="center"/>
          </w:tcPr>
          <w:p>
            <w:pPr>
              <w:widowControl/>
              <w:spacing w:line="340" w:lineRule="exact"/>
              <w:jc w:val="center"/>
              <w:rPr>
                <w:rFonts w:ascii="宋体" w:hAnsi="宋体" w:cs="宋体"/>
                <w:color w:val="000000"/>
                <w:kern w:val="0"/>
                <w:sz w:val="18"/>
                <w:szCs w:val="18"/>
              </w:rPr>
            </w:pPr>
            <w:r>
              <w:rPr>
                <w:rFonts w:hint="eastAsia" w:ascii="宋体" w:hAnsi="宋体" w:cs="宋体"/>
                <w:color w:val="000000"/>
                <w:kern w:val="0"/>
                <w:sz w:val="18"/>
                <w:szCs w:val="18"/>
              </w:rPr>
              <w:t>调整预算数</w:t>
            </w:r>
          </w:p>
        </w:tc>
        <w:tc>
          <w:tcPr>
            <w:tcW w:w="805" w:type="dxa"/>
            <w:tcBorders>
              <w:top w:val="nil"/>
              <w:left w:val="nil"/>
              <w:bottom w:val="single" w:color="auto" w:sz="4" w:space="0"/>
              <w:right w:val="single" w:color="auto" w:sz="4" w:space="0"/>
            </w:tcBorders>
            <w:shd w:val="clear" w:color="auto" w:fill="auto"/>
            <w:vAlign w:val="center"/>
          </w:tcPr>
          <w:p>
            <w:pPr>
              <w:widowControl/>
              <w:spacing w:line="340" w:lineRule="exact"/>
              <w:jc w:val="center"/>
              <w:rPr>
                <w:rFonts w:ascii="宋体" w:hAnsi="宋体" w:cs="宋体"/>
                <w:color w:val="000000"/>
                <w:kern w:val="0"/>
                <w:sz w:val="18"/>
                <w:szCs w:val="18"/>
              </w:rPr>
            </w:pPr>
            <w:r>
              <w:rPr>
                <w:rFonts w:hint="eastAsia" w:ascii="宋体" w:hAnsi="宋体" w:cs="宋体"/>
                <w:color w:val="000000"/>
                <w:kern w:val="0"/>
                <w:sz w:val="18"/>
                <w:szCs w:val="18"/>
              </w:rPr>
              <w:t>全年执行数</w:t>
            </w:r>
          </w:p>
        </w:tc>
        <w:tc>
          <w:tcPr>
            <w:tcW w:w="900" w:type="dxa"/>
            <w:tcBorders>
              <w:top w:val="nil"/>
              <w:left w:val="nil"/>
              <w:bottom w:val="single" w:color="auto" w:sz="4" w:space="0"/>
              <w:right w:val="single" w:color="auto" w:sz="4" w:space="0"/>
            </w:tcBorders>
            <w:shd w:val="clear" w:color="auto" w:fill="auto"/>
            <w:vAlign w:val="center"/>
          </w:tcPr>
          <w:p>
            <w:pPr>
              <w:widowControl/>
              <w:spacing w:line="340" w:lineRule="exact"/>
              <w:jc w:val="center"/>
              <w:rPr>
                <w:rFonts w:ascii="宋体" w:hAnsi="宋体" w:cs="宋体"/>
                <w:color w:val="000000"/>
                <w:kern w:val="0"/>
                <w:sz w:val="18"/>
                <w:szCs w:val="18"/>
              </w:rPr>
            </w:pPr>
            <w:r>
              <w:rPr>
                <w:rFonts w:hint="eastAsia" w:ascii="宋体" w:hAnsi="宋体" w:cs="宋体"/>
                <w:color w:val="000000"/>
                <w:kern w:val="0"/>
                <w:sz w:val="18"/>
                <w:szCs w:val="18"/>
              </w:rPr>
              <w:t>占预算调整的%</w:t>
            </w:r>
          </w:p>
        </w:tc>
      </w:tr>
      <w:tr>
        <w:tblPrEx>
          <w:tblCellMar>
            <w:top w:w="0" w:type="dxa"/>
            <w:left w:w="108" w:type="dxa"/>
            <w:bottom w:w="0" w:type="dxa"/>
            <w:right w:w="108" w:type="dxa"/>
          </w:tblCellMar>
        </w:tblPrEx>
        <w:trPr>
          <w:trHeight w:val="651" w:hRule="atLeast"/>
          <w:jc w:val="center"/>
        </w:trPr>
        <w:tc>
          <w:tcPr>
            <w:tcW w:w="2160" w:type="dxa"/>
            <w:tcBorders>
              <w:top w:val="nil"/>
              <w:left w:val="single" w:color="auto" w:sz="4" w:space="0"/>
              <w:bottom w:val="single" w:color="auto" w:sz="4" w:space="0"/>
              <w:right w:val="single" w:color="auto" w:sz="4" w:space="0"/>
            </w:tcBorders>
            <w:shd w:val="clear" w:color="auto" w:fill="auto"/>
            <w:noWrap/>
            <w:vAlign w:val="center"/>
          </w:tcPr>
          <w:p>
            <w:pPr>
              <w:spacing w:line="340" w:lineRule="exact"/>
              <w:rPr>
                <w:rFonts w:ascii="宋体" w:hAnsi="宋体"/>
                <w:color w:val="000000"/>
                <w:sz w:val="18"/>
                <w:szCs w:val="18"/>
              </w:rPr>
            </w:pPr>
            <w:r>
              <w:rPr>
                <w:rFonts w:hint="eastAsia" w:ascii="宋体" w:hAnsi="宋体"/>
                <w:color w:val="000000"/>
                <w:sz w:val="18"/>
                <w:szCs w:val="18"/>
              </w:rPr>
              <w:t>一、本级收入</w:t>
            </w:r>
          </w:p>
        </w:tc>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Tahoma" w:asciiTheme="minorEastAsia" w:hAnsiTheme="minorEastAsia" w:eastAsiaTheme="minorEastAsia"/>
                <w:color w:val="000000"/>
                <w:kern w:val="0"/>
                <w:sz w:val="18"/>
                <w:szCs w:val="18"/>
              </w:rPr>
            </w:pPr>
            <w:r>
              <w:rPr>
                <w:rFonts w:cs="Tahoma" w:asciiTheme="minorEastAsia" w:hAnsiTheme="minorEastAsia" w:eastAsiaTheme="minorEastAsia"/>
                <w:color w:val="000000"/>
                <w:sz w:val="18"/>
                <w:szCs w:val="18"/>
              </w:rPr>
              <w:t>113709</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Tahoma" w:asciiTheme="minorEastAsia" w:hAnsiTheme="minorEastAsia" w:eastAsiaTheme="minorEastAsia"/>
                <w:color w:val="000000"/>
                <w:kern w:val="0"/>
                <w:sz w:val="18"/>
                <w:szCs w:val="18"/>
              </w:rPr>
            </w:pPr>
            <w:r>
              <w:rPr>
                <w:rFonts w:cs="Tahoma" w:asciiTheme="minorEastAsia" w:hAnsiTheme="minorEastAsia" w:eastAsiaTheme="minorEastAsia"/>
                <w:color w:val="000000"/>
                <w:sz w:val="18"/>
                <w:szCs w:val="18"/>
              </w:rPr>
              <w:t>113709</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100.00</w:t>
            </w:r>
            <w:r>
              <w:rPr>
                <w:rFonts w:hint="eastAsia" w:cs="Tahoma" w:asciiTheme="minorEastAsia" w:hAnsiTheme="minorEastAsia" w:eastAsiaTheme="minorEastAsia"/>
                <w:color w:val="000000"/>
                <w:sz w:val="18"/>
                <w:szCs w:val="18"/>
              </w:rPr>
              <w:t>%</w:t>
            </w:r>
          </w:p>
        </w:tc>
        <w:tc>
          <w:tcPr>
            <w:tcW w:w="2162" w:type="dxa"/>
            <w:tcBorders>
              <w:top w:val="nil"/>
              <w:left w:val="nil"/>
              <w:bottom w:val="single" w:color="auto" w:sz="4" w:space="0"/>
              <w:right w:val="single" w:color="auto" w:sz="4" w:space="0"/>
            </w:tcBorders>
            <w:shd w:val="clear" w:color="auto" w:fill="auto"/>
            <w:noWrap/>
            <w:vAlign w:val="center"/>
          </w:tcPr>
          <w:p>
            <w:pPr>
              <w:spacing w:line="34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一、本年支出</w:t>
            </w:r>
          </w:p>
        </w:tc>
        <w:tc>
          <w:tcPr>
            <w:tcW w:w="8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Tahoma" w:asciiTheme="minorEastAsia" w:hAnsiTheme="minorEastAsia" w:eastAsiaTheme="minorEastAsia"/>
                <w:color w:val="000000"/>
                <w:kern w:val="0"/>
                <w:sz w:val="18"/>
                <w:szCs w:val="18"/>
              </w:rPr>
            </w:pPr>
            <w:r>
              <w:rPr>
                <w:rFonts w:cs="Tahoma" w:asciiTheme="minorEastAsia" w:hAnsiTheme="minorEastAsia" w:eastAsiaTheme="minorEastAsia"/>
                <w:color w:val="000000"/>
                <w:sz w:val="18"/>
                <w:szCs w:val="18"/>
              </w:rPr>
              <w:t>123775</w:t>
            </w:r>
          </w:p>
        </w:tc>
        <w:tc>
          <w:tcPr>
            <w:tcW w:w="80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Tahoma" w:asciiTheme="minorEastAsia" w:hAnsiTheme="minorEastAsia" w:eastAsiaTheme="minorEastAsia"/>
                <w:color w:val="000000"/>
                <w:kern w:val="0"/>
                <w:sz w:val="18"/>
                <w:szCs w:val="18"/>
              </w:rPr>
            </w:pPr>
            <w:r>
              <w:rPr>
                <w:rFonts w:cs="Tahoma" w:asciiTheme="minorEastAsia" w:hAnsiTheme="minorEastAsia" w:eastAsiaTheme="minorEastAsia"/>
                <w:color w:val="000000"/>
                <w:sz w:val="18"/>
                <w:szCs w:val="18"/>
              </w:rPr>
              <w:t>123775</w:t>
            </w:r>
          </w:p>
        </w:tc>
        <w:tc>
          <w:tcPr>
            <w:tcW w:w="900" w:type="dxa"/>
            <w:tcBorders>
              <w:top w:val="single" w:color="auto" w:sz="4" w:space="0"/>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100.00%</w:t>
            </w:r>
          </w:p>
        </w:tc>
      </w:tr>
      <w:tr>
        <w:tblPrEx>
          <w:tblCellMar>
            <w:top w:w="0" w:type="dxa"/>
            <w:left w:w="108" w:type="dxa"/>
            <w:bottom w:w="0" w:type="dxa"/>
            <w:right w:w="108" w:type="dxa"/>
          </w:tblCellMar>
        </w:tblPrEx>
        <w:trPr>
          <w:trHeight w:val="629" w:hRule="atLeast"/>
          <w:jc w:val="center"/>
        </w:trPr>
        <w:tc>
          <w:tcPr>
            <w:tcW w:w="2160" w:type="dxa"/>
            <w:tcBorders>
              <w:top w:val="nil"/>
              <w:left w:val="single" w:color="auto" w:sz="4" w:space="0"/>
              <w:bottom w:val="single" w:color="auto" w:sz="4" w:space="0"/>
              <w:right w:val="single" w:color="auto" w:sz="4" w:space="0"/>
            </w:tcBorders>
            <w:shd w:val="clear" w:color="auto" w:fill="auto"/>
            <w:noWrap/>
            <w:vAlign w:val="center"/>
          </w:tcPr>
          <w:p>
            <w:pPr>
              <w:spacing w:line="340" w:lineRule="exact"/>
              <w:rPr>
                <w:color w:val="000000"/>
                <w:sz w:val="18"/>
                <w:szCs w:val="18"/>
              </w:rPr>
            </w:pPr>
            <w:r>
              <w:rPr>
                <w:rFonts w:hint="eastAsia"/>
                <w:color w:val="000000"/>
                <w:sz w:val="18"/>
                <w:szCs w:val="18"/>
              </w:rPr>
              <w:t>企业职工养老保险基金</w:t>
            </w:r>
          </w:p>
        </w:tc>
        <w:tc>
          <w:tcPr>
            <w:tcW w:w="8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50291</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50291</w:t>
            </w:r>
          </w:p>
        </w:tc>
        <w:tc>
          <w:tcPr>
            <w:tcW w:w="992"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100.00</w:t>
            </w:r>
            <w:r>
              <w:rPr>
                <w:rFonts w:hint="eastAsia" w:cs="Tahoma" w:asciiTheme="minorEastAsia" w:hAnsiTheme="minorEastAsia" w:eastAsiaTheme="minorEastAsia"/>
                <w:color w:val="000000"/>
                <w:sz w:val="18"/>
                <w:szCs w:val="18"/>
              </w:rPr>
              <w:t>%</w:t>
            </w:r>
          </w:p>
        </w:tc>
        <w:tc>
          <w:tcPr>
            <w:tcW w:w="2162" w:type="dxa"/>
            <w:tcBorders>
              <w:top w:val="nil"/>
              <w:left w:val="nil"/>
              <w:bottom w:val="single" w:color="auto" w:sz="4" w:space="0"/>
              <w:right w:val="single" w:color="auto" w:sz="4" w:space="0"/>
            </w:tcBorders>
            <w:shd w:val="clear" w:color="auto" w:fill="auto"/>
            <w:noWrap/>
            <w:vAlign w:val="center"/>
          </w:tcPr>
          <w:p>
            <w:pPr>
              <w:spacing w:line="34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企业职工养老保险基金</w:t>
            </w:r>
          </w:p>
        </w:tc>
        <w:tc>
          <w:tcPr>
            <w:tcW w:w="81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55574</w:t>
            </w:r>
          </w:p>
        </w:tc>
        <w:tc>
          <w:tcPr>
            <w:tcW w:w="805"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55574</w:t>
            </w:r>
          </w:p>
        </w:tc>
        <w:tc>
          <w:tcPr>
            <w:tcW w:w="900"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100.00%</w:t>
            </w:r>
          </w:p>
        </w:tc>
      </w:tr>
      <w:tr>
        <w:tblPrEx>
          <w:tblCellMar>
            <w:top w:w="0" w:type="dxa"/>
            <w:left w:w="108" w:type="dxa"/>
            <w:bottom w:w="0" w:type="dxa"/>
            <w:right w:w="108" w:type="dxa"/>
          </w:tblCellMar>
        </w:tblPrEx>
        <w:trPr>
          <w:trHeight w:val="607" w:hRule="atLeast"/>
          <w:jc w:val="center"/>
        </w:trPr>
        <w:tc>
          <w:tcPr>
            <w:tcW w:w="2160" w:type="dxa"/>
            <w:tcBorders>
              <w:top w:val="nil"/>
              <w:left w:val="single" w:color="auto" w:sz="4" w:space="0"/>
              <w:bottom w:val="single" w:color="auto" w:sz="4" w:space="0"/>
              <w:right w:val="single" w:color="auto" w:sz="4" w:space="0"/>
            </w:tcBorders>
            <w:shd w:val="clear" w:color="auto" w:fill="auto"/>
            <w:noWrap/>
            <w:vAlign w:val="center"/>
          </w:tcPr>
          <w:p>
            <w:pPr>
              <w:spacing w:line="340" w:lineRule="exact"/>
              <w:rPr>
                <w:color w:val="000000"/>
                <w:sz w:val="18"/>
                <w:szCs w:val="18"/>
              </w:rPr>
            </w:pPr>
            <w:r>
              <w:rPr>
                <w:rFonts w:hint="eastAsia"/>
                <w:color w:val="000000"/>
                <w:sz w:val="18"/>
                <w:szCs w:val="18"/>
              </w:rPr>
              <w:t>城乡居民养老保险基金</w:t>
            </w:r>
          </w:p>
        </w:tc>
        <w:tc>
          <w:tcPr>
            <w:tcW w:w="8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13545</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13545</w:t>
            </w:r>
          </w:p>
        </w:tc>
        <w:tc>
          <w:tcPr>
            <w:tcW w:w="992"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100.00</w:t>
            </w:r>
            <w:r>
              <w:rPr>
                <w:rFonts w:hint="eastAsia" w:cs="Tahoma" w:asciiTheme="minorEastAsia" w:hAnsiTheme="minorEastAsia" w:eastAsiaTheme="minorEastAsia"/>
                <w:color w:val="000000"/>
                <w:sz w:val="18"/>
                <w:szCs w:val="18"/>
              </w:rPr>
              <w:t>%</w:t>
            </w:r>
          </w:p>
        </w:tc>
        <w:tc>
          <w:tcPr>
            <w:tcW w:w="2162" w:type="dxa"/>
            <w:tcBorders>
              <w:top w:val="nil"/>
              <w:left w:val="nil"/>
              <w:bottom w:val="single" w:color="auto" w:sz="4" w:space="0"/>
              <w:right w:val="single" w:color="auto" w:sz="4" w:space="0"/>
            </w:tcBorders>
            <w:shd w:val="clear" w:color="auto" w:fill="auto"/>
            <w:noWrap/>
            <w:vAlign w:val="center"/>
          </w:tcPr>
          <w:p>
            <w:pPr>
              <w:spacing w:line="34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城乡居民养老保险基金</w:t>
            </w:r>
          </w:p>
        </w:tc>
        <w:tc>
          <w:tcPr>
            <w:tcW w:w="81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9400</w:t>
            </w:r>
          </w:p>
        </w:tc>
        <w:tc>
          <w:tcPr>
            <w:tcW w:w="805"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9400</w:t>
            </w:r>
          </w:p>
        </w:tc>
        <w:tc>
          <w:tcPr>
            <w:tcW w:w="900"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100.00%</w:t>
            </w:r>
          </w:p>
        </w:tc>
      </w:tr>
      <w:tr>
        <w:tblPrEx>
          <w:tblCellMar>
            <w:top w:w="0" w:type="dxa"/>
            <w:left w:w="108" w:type="dxa"/>
            <w:bottom w:w="0" w:type="dxa"/>
            <w:right w:w="108" w:type="dxa"/>
          </w:tblCellMar>
        </w:tblPrEx>
        <w:trPr>
          <w:trHeight w:val="613" w:hRule="atLeast"/>
          <w:jc w:val="center"/>
        </w:trPr>
        <w:tc>
          <w:tcPr>
            <w:tcW w:w="2160" w:type="dxa"/>
            <w:tcBorders>
              <w:top w:val="nil"/>
              <w:left w:val="single" w:color="auto" w:sz="4" w:space="0"/>
              <w:bottom w:val="single" w:color="auto" w:sz="4" w:space="0"/>
              <w:right w:val="single" w:color="auto" w:sz="4" w:space="0"/>
            </w:tcBorders>
            <w:shd w:val="clear" w:color="auto" w:fill="auto"/>
            <w:noWrap/>
            <w:vAlign w:val="center"/>
          </w:tcPr>
          <w:p>
            <w:pPr>
              <w:spacing w:line="340" w:lineRule="exact"/>
              <w:rPr>
                <w:color w:val="000000"/>
                <w:sz w:val="18"/>
                <w:szCs w:val="18"/>
              </w:rPr>
            </w:pPr>
            <w:r>
              <w:rPr>
                <w:rFonts w:hint="eastAsia"/>
                <w:color w:val="000000"/>
                <w:sz w:val="18"/>
                <w:szCs w:val="18"/>
              </w:rPr>
              <w:t>城镇职工医疗保险基金</w:t>
            </w:r>
          </w:p>
        </w:tc>
        <w:tc>
          <w:tcPr>
            <w:tcW w:w="8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12321</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12321</w:t>
            </w:r>
          </w:p>
        </w:tc>
        <w:tc>
          <w:tcPr>
            <w:tcW w:w="992"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100.00</w:t>
            </w:r>
            <w:r>
              <w:rPr>
                <w:rFonts w:hint="eastAsia" w:cs="Tahoma" w:asciiTheme="minorEastAsia" w:hAnsiTheme="minorEastAsia" w:eastAsiaTheme="minorEastAsia"/>
                <w:color w:val="000000"/>
                <w:sz w:val="18"/>
                <w:szCs w:val="18"/>
              </w:rPr>
              <w:t>%</w:t>
            </w:r>
          </w:p>
        </w:tc>
        <w:tc>
          <w:tcPr>
            <w:tcW w:w="2162" w:type="dxa"/>
            <w:tcBorders>
              <w:top w:val="nil"/>
              <w:left w:val="nil"/>
              <w:bottom w:val="single" w:color="auto" w:sz="4" w:space="0"/>
              <w:right w:val="single" w:color="auto" w:sz="4" w:space="0"/>
            </w:tcBorders>
            <w:shd w:val="clear" w:color="auto" w:fill="auto"/>
            <w:noWrap/>
            <w:vAlign w:val="center"/>
          </w:tcPr>
          <w:p>
            <w:pPr>
              <w:spacing w:line="34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城镇职工医疗保险基金</w:t>
            </w:r>
          </w:p>
        </w:tc>
        <w:tc>
          <w:tcPr>
            <w:tcW w:w="81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9208</w:t>
            </w:r>
          </w:p>
        </w:tc>
        <w:tc>
          <w:tcPr>
            <w:tcW w:w="805"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9208</w:t>
            </w:r>
          </w:p>
        </w:tc>
        <w:tc>
          <w:tcPr>
            <w:tcW w:w="900"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100.00%</w:t>
            </w:r>
          </w:p>
        </w:tc>
      </w:tr>
      <w:tr>
        <w:tblPrEx>
          <w:tblCellMar>
            <w:top w:w="0" w:type="dxa"/>
            <w:left w:w="108" w:type="dxa"/>
            <w:bottom w:w="0" w:type="dxa"/>
            <w:right w:w="108" w:type="dxa"/>
          </w:tblCellMar>
        </w:tblPrEx>
        <w:trPr>
          <w:trHeight w:val="619" w:hRule="atLeast"/>
          <w:jc w:val="center"/>
        </w:trPr>
        <w:tc>
          <w:tcPr>
            <w:tcW w:w="2160" w:type="dxa"/>
            <w:tcBorders>
              <w:top w:val="nil"/>
              <w:left w:val="single" w:color="auto" w:sz="4" w:space="0"/>
              <w:bottom w:val="single" w:color="auto" w:sz="4" w:space="0"/>
              <w:right w:val="single" w:color="auto" w:sz="4" w:space="0"/>
            </w:tcBorders>
            <w:shd w:val="clear" w:color="auto" w:fill="auto"/>
            <w:noWrap/>
            <w:vAlign w:val="center"/>
          </w:tcPr>
          <w:p>
            <w:pPr>
              <w:spacing w:line="340" w:lineRule="exact"/>
              <w:rPr>
                <w:color w:val="000000"/>
                <w:sz w:val="18"/>
                <w:szCs w:val="18"/>
              </w:rPr>
            </w:pPr>
            <w:r>
              <w:rPr>
                <w:rFonts w:hint="eastAsia"/>
                <w:color w:val="000000"/>
                <w:sz w:val="18"/>
                <w:szCs w:val="18"/>
              </w:rPr>
              <w:t>城乡居民医疗保险基金</w:t>
            </w:r>
          </w:p>
        </w:tc>
        <w:tc>
          <w:tcPr>
            <w:tcW w:w="8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20524</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20524</w:t>
            </w:r>
          </w:p>
        </w:tc>
        <w:tc>
          <w:tcPr>
            <w:tcW w:w="992"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100.00</w:t>
            </w:r>
            <w:r>
              <w:rPr>
                <w:rFonts w:hint="eastAsia" w:cs="Tahoma" w:asciiTheme="minorEastAsia" w:hAnsiTheme="minorEastAsia" w:eastAsiaTheme="minorEastAsia"/>
                <w:color w:val="000000"/>
                <w:sz w:val="18"/>
                <w:szCs w:val="18"/>
              </w:rPr>
              <w:t>%</w:t>
            </w:r>
          </w:p>
        </w:tc>
        <w:tc>
          <w:tcPr>
            <w:tcW w:w="2162" w:type="dxa"/>
            <w:tcBorders>
              <w:top w:val="nil"/>
              <w:left w:val="nil"/>
              <w:bottom w:val="single" w:color="auto" w:sz="4" w:space="0"/>
              <w:right w:val="single" w:color="auto" w:sz="4" w:space="0"/>
            </w:tcBorders>
            <w:shd w:val="clear" w:color="auto" w:fill="auto"/>
            <w:noWrap/>
            <w:vAlign w:val="center"/>
          </w:tcPr>
          <w:p>
            <w:pPr>
              <w:spacing w:line="34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城乡居民医疗保险基金</w:t>
            </w:r>
          </w:p>
        </w:tc>
        <w:tc>
          <w:tcPr>
            <w:tcW w:w="81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17791</w:t>
            </w:r>
          </w:p>
        </w:tc>
        <w:tc>
          <w:tcPr>
            <w:tcW w:w="805"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17791</w:t>
            </w:r>
          </w:p>
        </w:tc>
        <w:tc>
          <w:tcPr>
            <w:tcW w:w="900"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100.00%</w:t>
            </w:r>
          </w:p>
        </w:tc>
      </w:tr>
      <w:tr>
        <w:tblPrEx>
          <w:tblCellMar>
            <w:top w:w="0" w:type="dxa"/>
            <w:left w:w="108" w:type="dxa"/>
            <w:bottom w:w="0" w:type="dxa"/>
            <w:right w:w="108" w:type="dxa"/>
          </w:tblCellMar>
        </w:tblPrEx>
        <w:trPr>
          <w:trHeight w:val="611" w:hRule="atLeast"/>
          <w:jc w:val="center"/>
        </w:trPr>
        <w:tc>
          <w:tcPr>
            <w:tcW w:w="2160" w:type="dxa"/>
            <w:tcBorders>
              <w:top w:val="nil"/>
              <w:left w:val="single" w:color="auto" w:sz="4" w:space="0"/>
              <w:bottom w:val="single" w:color="auto" w:sz="4" w:space="0"/>
              <w:right w:val="single" w:color="auto" w:sz="4" w:space="0"/>
            </w:tcBorders>
            <w:shd w:val="clear" w:color="auto" w:fill="auto"/>
            <w:noWrap/>
            <w:vAlign w:val="center"/>
          </w:tcPr>
          <w:p>
            <w:pPr>
              <w:spacing w:line="340" w:lineRule="exact"/>
              <w:rPr>
                <w:color w:val="000000"/>
                <w:sz w:val="18"/>
                <w:szCs w:val="18"/>
              </w:rPr>
            </w:pPr>
            <w:r>
              <w:rPr>
                <w:rFonts w:hint="eastAsia"/>
                <w:color w:val="000000"/>
                <w:sz w:val="18"/>
                <w:szCs w:val="18"/>
              </w:rPr>
              <w:t>工伤保险基金</w:t>
            </w:r>
          </w:p>
        </w:tc>
        <w:tc>
          <w:tcPr>
            <w:tcW w:w="8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336</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336</w:t>
            </w:r>
          </w:p>
        </w:tc>
        <w:tc>
          <w:tcPr>
            <w:tcW w:w="992"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100.00</w:t>
            </w:r>
            <w:r>
              <w:rPr>
                <w:rFonts w:hint="eastAsia" w:cs="Tahoma" w:asciiTheme="minorEastAsia" w:hAnsiTheme="minorEastAsia" w:eastAsiaTheme="minorEastAsia"/>
                <w:color w:val="000000"/>
                <w:sz w:val="18"/>
                <w:szCs w:val="18"/>
              </w:rPr>
              <w:t>%</w:t>
            </w:r>
          </w:p>
        </w:tc>
        <w:tc>
          <w:tcPr>
            <w:tcW w:w="2162" w:type="dxa"/>
            <w:tcBorders>
              <w:top w:val="nil"/>
              <w:left w:val="nil"/>
              <w:bottom w:val="single" w:color="auto" w:sz="4" w:space="0"/>
              <w:right w:val="single" w:color="auto" w:sz="4" w:space="0"/>
            </w:tcBorders>
            <w:shd w:val="clear" w:color="auto" w:fill="auto"/>
            <w:noWrap/>
            <w:vAlign w:val="center"/>
          </w:tcPr>
          <w:p>
            <w:pPr>
              <w:spacing w:line="34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工伤保险基金</w:t>
            </w:r>
          </w:p>
        </w:tc>
        <w:tc>
          <w:tcPr>
            <w:tcW w:w="81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723</w:t>
            </w:r>
          </w:p>
        </w:tc>
        <w:tc>
          <w:tcPr>
            <w:tcW w:w="805"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723</w:t>
            </w:r>
          </w:p>
        </w:tc>
        <w:tc>
          <w:tcPr>
            <w:tcW w:w="900"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100.00%</w:t>
            </w:r>
          </w:p>
        </w:tc>
      </w:tr>
      <w:tr>
        <w:tblPrEx>
          <w:tblCellMar>
            <w:top w:w="0" w:type="dxa"/>
            <w:left w:w="108" w:type="dxa"/>
            <w:bottom w:w="0" w:type="dxa"/>
            <w:right w:w="108" w:type="dxa"/>
          </w:tblCellMar>
        </w:tblPrEx>
        <w:trPr>
          <w:trHeight w:val="619" w:hRule="atLeast"/>
          <w:jc w:val="center"/>
        </w:trPr>
        <w:tc>
          <w:tcPr>
            <w:tcW w:w="2160" w:type="dxa"/>
            <w:tcBorders>
              <w:top w:val="nil"/>
              <w:left w:val="single" w:color="auto" w:sz="4" w:space="0"/>
              <w:bottom w:val="single" w:color="auto" w:sz="4" w:space="0"/>
              <w:right w:val="single" w:color="auto" w:sz="4" w:space="0"/>
            </w:tcBorders>
            <w:shd w:val="clear" w:color="auto" w:fill="auto"/>
            <w:noWrap/>
            <w:vAlign w:val="center"/>
          </w:tcPr>
          <w:p>
            <w:pPr>
              <w:spacing w:line="340" w:lineRule="exact"/>
              <w:rPr>
                <w:color w:val="000000"/>
                <w:sz w:val="18"/>
                <w:szCs w:val="18"/>
              </w:rPr>
            </w:pPr>
            <w:r>
              <w:rPr>
                <w:rFonts w:hint="eastAsia"/>
                <w:color w:val="000000"/>
                <w:sz w:val="18"/>
                <w:szCs w:val="18"/>
              </w:rPr>
              <w:t>失业保险基金</w:t>
            </w:r>
          </w:p>
        </w:tc>
        <w:tc>
          <w:tcPr>
            <w:tcW w:w="8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676</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676</w:t>
            </w:r>
          </w:p>
        </w:tc>
        <w:tc>
          <w:tcPr>
            <w:tcW w:w="992"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100.00</w:t>
            </w:r>
            <w:r>
              <w:rPr>
                <w:rFonts w:hint="eastAsia" w:cs="Tahoma" w:asciiTheme="minorEastAsia" w:hAnsiTheme="minorEastAsia" w:eastAsiaTheme="minorEastAsia"/>
                <w:color w:val="000000"/>
                <w:sz w:val="18"/>
                <w:szCs w:val="18"/>
              </w:rPr>
              <w:t>%</w:t>
            </w:r>
          </w:p>
        </w:tc>
        <w:tc>
          <w:tcPr>
            <w:tcW w:w="2162" w:type="dxa"/>
            <w:tcBorders>
              <w:top w:val="nil"/>
              <w:left w:val="nil"/>
              <w:bottom w:val="single" w:color="auto" w:sz="4" w:space="0"/>
              <w:right w:val="single" w:color="auto" w:sz="4" w:space="0"/>
            </w:tcBorders>
            <w:shd w:val="clear" w:color="auto" w:fill="auto"/>
            <w:noWrap/>
            <w:vAlign w:val="center"/>
          </w:tcPr>
          <w:p>
            <w:pPr>
              <w:spacing w:line="34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失业保险基金</w:t>
            </w:r>
          </w:p>
        </w:tc>
        <w:tc>
          <w:tcPr>
            <w:tcW w:w="81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1846</w:t>
            </w:r>
          </w:p>
        </w:tc>
        <w:tc>
          <w:tcPr>
            <w:tcW w:w="805"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1846</w:t>
            </w:r>
          </w:p>
        </w:tc>
        <w:tc>
          <w:tcPr>
            <w:tcW w:w="900"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100.00%</w:t>
            </w:r>
          </w:p>
        </w:tc>
      </w:tr>
      <w:tr>
        <w:tblPrEx>
          <w:tblCellMar>
            <w:top w:w="0" w:type="dxa"/>
            <w:left w:w="108" w:type="dxa"/>
            <w:bottom w:w="0" w:type="dxa"/>
            <w:right w:w="108" w:type="dxa"/>
          </w:tblCellMar>
        </w:tblPrEx>
        <w:trPr>
          <w:trHeight w:val="517" w:hRule="atLeast"/>
          <w:jc w:val="center"/>
        </w:trPr>
        <w:tc>
          <w:tcPr>
            <w:tcW w:w="2160" w:type="dxa"/>
            <w:tcBorders>
              <w:top w:val="nil"/>
              <w:left w:val="single" w:color="auto" w:sz="4" w:space="0"/>
              <w:bottom w:val="single" w:color="auto" w:sz="4" w:space="0"/>
              <w:right w:val="single" w:color="auto" w:sz="4" w:space="0"/>
            </w:tcBorders>
            <w:shd w:val="clear" w:color="auto" w:fill="auto"/>
            <w:noWrap/>
            <w:vAlign w:val="center"/>
          </w:tcPr>
          <w:p>
            <w:pPr>
              <w:spacing w:line="340" w:lineRule="exact"/>
              <w:rPr>
                <w:color w:val="000000"/>
                <w:sz w:val="18"/>
                <w:szCs w:val="18"/>
              </w:rPr>
            </w:pPr>
            <w:r>
              <w:rPr>
                <w:rFonts w:hint="eastAsia"/>
                <w:color w:val="000000"/>
                <w:sz w:val="18"/>
                <w:szCs w:val="18"/>
              </w:rPr>
              <w:t>机关事业养老保险基金</w:t>
            </w:r>
          </w:p>
        </w:tc>
        <w:tc>
          <w:tcPr>
            <w:tcW w:w="8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16016</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16016</w:t>
            </w:r>
          </w:p>
        </w:tc>
        <w:tc>
          <w:tcPr>
            <w:tcW w:w="992"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100.00</w:t>
            </w:r>
            <w:r>
              <w:rPr>
                <w:rFonts w:hint="eastAsia" w:cs="Tahoma" w:asciiTheme="minorEastAsia" w:hAnsiTheme="minorEastAsia" w:eastAsiaTheme="minorEastAsia"/>
                <w:color w:val="000000"/>
                <w:sz w:val="18"/>
                <w:szCs w:val="18"/>
              </w:rPr>
              <w:t>%</w:t>
            </w:r>
          </w:p>
        </w:tc>
        <w:tc>
          <w:tcPr>
            <w:tcW w:w="2162" w:type="dxa"/>
            <w:tcBorders>
              <w:top w:val="nil"/>
              <w:left w:val="nil"/>
              <w:bottom w:val="single" w:color="auto" w:sz="4" w:space="0"/>
              <w:right w:val="single" w:color="auto" w:sz="4" w:space="0"/>
            </w:tcBorders>
            <w:shd w:val="clear" w:color="auto" w:fill="auto"/>
            <w:noWrap/>
            <w:vAlign w:val="center"/>
          </w:tcPr>
          <w:p>
            <w:pPr>
              <w:spacing w:line="340" w:lineRule="exac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机关事业养老保险基金</w:t>
            </w:r>
          </w:p>
        </w:tc>
        <w:tc>
          <w:tcPr>
            <w:tcW w:w="81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29233</w:t>
            </w:r>
          </w:p>
        </w:tc>
        <w:tc>
          <w:tcPr>
            <w:tcW w:w="805"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29233</w:t>
            </w:r>
          </w:p>
        </w:tc>
        <w:tc>
          <w:tcPr>
            <w:tcW w:w="900"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100.00%</w:t>
            </w:r>
          </w:p>
        </w:tc>
      </w:tr>
      <w:tr>
        <w:tblPrEx>
          <w:tblCellMar>
            <w:top w:w="0" w:type="dxa"/>
            <w:left w:w="108" w:type="dxa"/>
            <w:bottom w:w="0" w:type="dxa"/>
            <w:right w:w="108" w:type="dxa"/>
          </w:tblCellMar>
        </w:tblPrEx>
        <w:trPr>
          <w:trHeight w:val="621" w:hRule="atLeast"/>
          <w:jc w:val="center"/>
        </w:trPr>
        <w:tc>
          <w:tcPr>
            <w:tcW w:w="2160" w:type="dxa"/>
            <w:tcBorders>
              <w:top w:val="nil"/>
              <w:left w:val="single" w:color="auto" w:sz="4" w:space="0"/>
              <w:bottom w:val="single" w:color="auto" w:sz="4" w:space="0"/>
              <w:right w:val="single" w:color="auto" w:sz="4" w:space="0"/>
            </w:tcBorders>
            <w:shd w:val="clear" w:color="auto" w:fill="auto"/>
            <w:noWrap/>
            <w:vAlign w:val="center"/>
          </w:tcPr>
          <w:p>
            <w:pPr>
              <w:spacing w:line="340" w:lineRule="exact"/>
              <w:rPr>
                <w:color w:val="000000"/>
                <w:sz w:val="18"/>
                <w:szCs w:val="18"/>
              </w:rPr>
            </w:pPr>
          </w:p>
        </w:tc>
        <w:tc>
          <w:tcPr>
            <w:tcW w:w="8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992"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2162" w:type="dxa"/>
            <w:tcBorders>
              <w:top w:val="nil"/>
              <w:left w:val="nil"/>
              <w:bottom w:val="single" w:color="auto" w:sz="4" w:space="0"/>
              <w:right w:val="single" w:color="auto" w:sz="4" w:space="0"/>
            </w:tcBorders>
            <w:shd w:val="clear" w:color="auto" w:fill="auto"/>
            <w:noWrap/>
            <w:vAlign w:val="center"/>
          </w:tcPr>
          <w:p>
            <w:pPr>
              <w:spacing w:line="340" w:lineRule="exact"/>
              <w:rPr>
                <w:rFonts w:asciiTheme="minorEastAsia" w:hAnsiTheme="minorEastAsia" w:eastAsiaTheme="minorEastAsia"/>
                <w:color w:val="000000"/>
                <w:sz w:val="18"/>
                <w:szCs w:val="18"/>
              </w:rPr>
            </w:pPr>
          </w:p>
        </w:tc>
        <w:tc>
          <w:tcPr>
            <w:tcW w:w="81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805"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900"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r>
      <w:tr>
        <w:tblPrEx>
          <w:tblCellMar>
            <w:top w:w="0" w:type="dxa"/>
            <w:left w:w="108" w:type="dxa"/>
            <w:bottom w:w="0" w:type="dxa"/>
            <w:right w:w="108" w:type="dxa"/>
          </w:tblCellMar>
        </w:tblPrEx>
        <w:trPr>
          <w:trHeight w:val="541" w:hRule="atLeast"/>
          <w:jc w:val="center"/>
        </w:trPr>
        <w:tc>
          <w:tcPr>
            <w:tcW w:w="2160" w:type="dxa"/>
            <w:tcBorders>
              <w:top w:val="nil"/>
              <w:left w:val="single" w:color="auto" w:sz="4" w:space="0"/>
              <w:bottom w:val="single" w:color="auto" w:sz="4" w:space="0"/>
              <w:right w:val="single" w:color="auto" w:sz="4" w:space="0"/>
            </w:tcBorders>
            <w:shd w:val="clear" w:color="auto" w:fill="auto"/>
            <w:noWrap/>
            <w:vAlign w:val="center"/>
          </w:tcPr>
          <w:p>
            <w:pPr>
              <w:spacing w:line="340" w:lineRule="exact"/>
              <w:rPr>
                <w:color w:val="000000"/>
                <w:sz w:val="18"/>
                <w:szCs w:val="18"/>
              </w:rPr>
            </w:pPr>
            <w:r>
              <w:rPr>
                <w:rFonts w:hint="eastAsia"/>
                <w:color w:val="000000"/>
                <w:sz w:val="18"/>
                <w:szCs w:val="18"/>
              </w:rPr>
              <w:t>二、历年滚存结余</w:t>
            </w:r>
          </w:p>
        </w:tc>
        <w:tc>
          <w:tcPr>
            <w:tcW w:w="8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119331</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119331</w:t>
            </w:r>
          </w:p>
        </w:tc>
        <w:tc>
          <w:tcPr>
            <w:tcW w:w="992"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100.00</w:t>
            </w:r>
            <w:r>
              <w:rPr>
                <w:rFonts w:hint="eastAsia" w:cs="Tahoma" w:asciiTheme="minorEastAsia" w:hAnsiTheme="minorEastAsia" w:eastAsiaTheme="minorEastAsia"/>
                <w:color w:val="000000"/>
                <w:sz w:val="18"/>
                <w:szCs w:val="18"/>
              </w:rPr>
              <w:t>%</w:t>
            </w:r>
          </w:p>
        </w:tc>
        <w:tc>
          <w:tcPr>
            <w:tcW w:w="2162" w:type="dxa"/>
            <w:tcBorders>
              <w:top w:val="nil"/>
              <w:left w:val="nil"/>
              <w:bottom w:val="single" w:color="auto" w:sz="4" w:space="0"/>
              <w:right w:val="single" w:color="auto" w:sz="4" w:space="0"/>
            </w:tcBorders>
            <w:shd w:val="clear" w:color="auto" w:fill="auto"/>
            <w:noWrap/>
            <w:vAlign w:val="center"/>
          </w:tcPr>
          <w:p>
            <w:pPr>
              <w:spacing w:line="340" w:lineRule="exact"/>
              <w:rPr>
                <w:rFonts w:asciiTheme="minorEastAsia" w:hAnsiTheme="minorEastAsia" w:eastAsiaTheme="minorEastAsia"/>
                <w:color w:val="000000"/>
                <w:sz w:val="18"/>
                <w:szCs w:val="18"/>
              </w:rPr>
            </w:pPr>
          </w:p>
        </w:tc>
        <w:tc>
          <w:tcPr>
            <w:tcW w:w="81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805"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900"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r>
      <w:tr>
        <w:tblPrEx>
          <w:tblCellMar>
            <w:top w:w="0" w:type="dxa"/>
            <w:left w:w="108" w:type="dxa"/>
            <w:bottom w:w="0" w:type="dxa"/>
            <w:right w:w="108" w:type="dxa"/>
          </w:tblCellMar>
        </w:tblPrEx>
        <w:trPr>
          <w:trHeight w:val="617" w:hRule="atLeast"/>
          <w:jc w:val="center"/>
        </w:trPr>
        <w:tc>
          <w:tcPr>
            <w:tcW w:w="2160" w:type="dxa"/>
            <w:tcBorders>
              <w:top w:val="nil"/>
              <w:left w:val="single" w:color="auto" w:sz="4" w:space="0"/>
              <w:bottom w:val="single" w:color="auto" w:sz="4" w:space="0"/>
              <w:right w:val="single" w:color="auto" w:sz="4" w:space="0"/>
            </w:tcBorders>
            <w:shd w:val="clear" w:color="auto" w:fill="auto"/>
            <w:noWrap/>
            <w:vAlign w:val="center"/>
          </w:tcPr>
          <w:p>
            <w:pPr>
              <w:spacing w:line="340" w:lineRule="exact"/>
              <w:rPr>
                <w:color w:val="000000"/>
                <w:sz w:val="18"/>
                <w:szCs w:val="18"/>
              </w:rPr>
            </w:pPr>
          </w:p>
        </w:tc>
        <w:tc>
          <w:tcPr>
            <w:tcW w:w="855" w:type="dxa"/>
            <w:tcBorders>
              <w:top w:val="nil"/>
              <w:left w:val="single" w:color="auto" w:sz="4" w:space="0"/>
              <w:bottom w:val="single" w:color="auto" w:sz="4" w:space="0"/>
              <w:right w:val="single" w:color="auto" w:sz="4" w:space="0"/>
            </w:tcBorders>
            <w:shd w:val="clear" w:color="auto" w:fill="auto"/>
            <w:noWrap/>
            <w:vAlign w:val="center"/>
          </w:tcPr>
          <w:p>
            <w:pP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851" w:type="dxa"/>
            <w:tcBorders>
              <w:top w:val="nil"/>
              <w:left w:val="nil"/>
              <w:bottom w:val="single" w:color="auto" w:sz="4" w:space="0"/>
              <w:right w:val="single" w:color="auto" w:sz="4" w:space="0"/>
            </w:tcBorders>
            <w:shd w:val="clear" w:color="auto" w:fill="auto"/>
            <w:noWrap/>
            <w:vAlign w:val="center"/>
          </w:tcPr>
          <w:p>
            <w:pP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992" w:type="dxa"/>
            <w:tcBorders>
              <w:top w:val="nil"/>
              <w:left w:val="nil"/>
              <w:bottom w:val="single" w:color="auto" w:sz="4" w:space="0"/>
              <w:right w:val="single" w:color="auto" w:sz="4" w:space="0"/>
            </w:tcBorders>
            <w:shd w:val="clear" w:color="auto" w:fill="auto"/>
            <w:noWrap/>
            <w:vAlign w:val="center"/>
          </w:tcPr>
          <w:p>
            <w:pP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2162" w:type="dxa"/>
            <w:tcBorders>
              <w:top w:val="nil"/>
              <w:left w:val="nil"/>
              <w:bottom w:val="single" w:color="auto" w:sz="4" w:space="0"/>
              <w:right w:val="single" w:color="auto" w:sz="4" w:space="0"/>
            </w:tcBorders>
            <w:shd w:val="clear" w:color="auto" w:fill="auto"/>
            <w:noWrap/>
            <w:vAlign w:val="center"/>
          </w:tcPr>
          <w:p>
            <w:pPr>
              <w:spacing w:line="340" w:lineRule="exact"/>
              <w:rPr>
                <w:rFonts w:asciiTheme="minorEastAsia" w:hAnsiTheme="minorEastAsia" w:eastAsiaTheme="minorEastAsia"/>
                <w:color w:val="000000"/>
                <w:sz w:val="18"/>
                <w:szCs w:val="18"/>
              </w:rPr>
            </w:pPr>
          </w:p>
        </w:tc>
        <w:tc>
          <w:tcPr>
            <w:tcW w:w="815" w:type="dxa"/>
            <w:tcBorders>
              <w:top w:val="nil"/>
              <w:left w:val="single" w:color="auto" w:sz="4" w:space="0"/>
              <w:bottom w:val="single" w:color="auto" w:sz="4" w:space="0"/>
              <w:right w:val="single" w:color="auto" w:sz="4" w:space="0"/>
            </w:tcBorders>
            <w:shd w:val="clear" w:color="auto" w:fill="auto"/>
            <w:noWrap/>
            <w:vAlign w:val="center"/>
          </w:tcPr>
          <w:p>
            <w:pP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805" w:type="dxa"/>
            <w:tcBorders>
              <w:top w:val="nil"/>
              <w:left w:val="nil"/>
              <w:bottom w:val="single" w:color="auto" w:sz="4" w:space="0"/>
              <w:right w:val="single" w:color="auto" w:sz="4" w:space="0"/>
            </w:tcBorders>
            <w:shd w:val="clear" w:color="auto" w:fill="auto"/>
            <w:noWrap/>
            <w:vAlign w:val="center"/>
          </w:tcPr>
          <w:p>
            <w:pP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900" w:type="dxa"/>
            <w:tcBorders>
              <w:top w:val="nil"/>
              <w:left w:val="nil"/>
              <w:bottom w:val="single" w:color="auto" w:sz="4" w:space="0"/>
              <w:right w:val="single" w:color="auto" w:sz="4" w:space="0"/>
            </w:tcBorders>
            <w:shd w:val="clear" w:color="auto" w:fill="auto"/>
            <w:noWrap/>
            <w:vAlign w:val="center"/>
          </w:tcPr>
          <w:p>
            <w:pP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r>
      <w:tr>
        <w:tblPrEx>
          <w:tblCellMar>
            <w:top w:w="0" w:type="dxa"/>
            <w:left w:w="108" w:type="dxa"/>
            <w:bottom w:w="0" w:type="dxa"/>
            <w:right w:w="108" w:type="dxa"/>
          </w:tblCellMar>
        </w:tblPrEx>
        <w:trPr>
          <w:trHeight w:val="551" w:hRule="atLeast"/>
          <w:jc w:val="center"/>
        </w:trPr>
        <w:tc>
          <w:tcPr>
            <w:tcW w:w="2160" w:type="dxa"/>
            <w:tcBorders>
              <w:top w:val="nil"/>
              <w:left w:val="single" w:color="auto" w:sz="4" w:space="0"/>
              <w:bottom w:val="single" w:color="auto" w:sz="4" w:space="0"/>
              <w:right w:val="single" w:color="auto" w:sz="4" w:space="0"/>
            </w:tcBorders>
            <w:shd w:val="clear" w:color="auto" w:fill="auto"/>
            <w:noWrap/>
            <w:vAlign w:val="center"/>
          </w:tcPr>
          <w:p>
            <w:pPr>
              <w:spacing w:line="340" w:lineRule="exact"/>
              <w:rPr>
                <w:color w:val="000000"/>
                <w:sz w:val="18"/>
                <w:szCs w:val="18"/>
              </w:rPr>
            </w:pPr>
            <w:r>
              <w:rPr>
                <w:rFonts w:hint="eastAsia"/>
                <w:color w:val="000000"/>
                <w:sz w:val="18"/>
                <w:szCs w:val="18"/>
              </w:rPr>
              <w:t>　</w:t>
            </w:r>
          </w:p>
        </w:tc>
        <w:tc>
          <w:tcPr>
            <w:tcW w:w="855" w:type="dxa"/>
            <w:tcBorders>
              <w:top w:val="nil"/>
              <w:left w:val="single" w:color="auto" w:sz="4" w:space="0"/>
              <w:bottom w:val="single" w:color="auto" w:sz="4" w:space="0"/>
              <w:right w:val="single" w:color="auto" w:sz="4" w:space="0"/>
            </w:tcBorders>
            <w:shd w:val="clear" w:color="auto" w:fill="auto"/>
            <w:noWrap/>
            <w:vAlign w:val="center"/>
          </w:tcPr>
          <w:p>
            <w:pP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851" w:type="dxa"/>
            <w:tcBorders>
              <w:top w:val="nil"/>
              <w:left w:val="nil"/>
              <w:bottom w:val="single" w:color="auto" w:sz="4" w:space="0"/>
              <w:right w:val="single" w:color="auto" w:sz="4" w:space="0"/>
            </w:tcBorders>
            <w:shd w:val="clear" w:color="auto" w:fill="auto"/>
            <w:noWrap/>
            <w:vAlign w:val="center"/>
          </w:tcPr>
          <w:p>
            <w:pP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992" w:type="dxa"/>
            <w:tcBorders>
              <w:top w:val="nil"/>
              <w:left w:val="nil"/>
              <w:bottom w:val="single" w:color="auto" w:sz="4" w:space="0"/>
              <w:right w:val="single" w:color="auto" w:sz="4" w:space="0"/>
            </w:tcBorders>
            <w:shd w:val="clear" w:color="auto" w:fill="auto"/>
            <w:noWrap/>
            <w:vAlign w:val="center"/>
          </w:tcPr>
          <w:p>
            <w:pP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2162" w:type="dxa"/>
            <w:tcBorders>
              <w:top w:val="nil"/>
              <w:left w:val="nil"/>
              <w:bottom w:val="single" w:color="auto" w:sz="4" w:space="0"/>
              <w:right w:val="single" w:color="auto" w:sz="4" w:space="0"/>
            </w:tcBorders>
            <w:shd w:val="clear" w:color="auto" w:fill="auto"/>
            <w:noWrap/>
            <w:vAlign w:val="center"/>
          </w:tcPr>
          <w:p>
            <w:pPr>
              <w:spacing w:line="340" w:lineRule="exact"/>
              <w:rPr>
                <w:rFonts w:asciiTheme="minorEastAsia" w:hAnsiTheme="minorEastAsia" w:eastAsiaTheme="minorEastAsia"/>
                <w:color w:val="000000"/>
                <w:sz w:val="18"/>
                <w:szCs w:val="18"/>
              </w:rPr>
            </w:pPr>
          </w:p>
        </w:tc>
        <w:tc>
          <w:tcPr>
            <w:tcW w:w="815" w:type="dxa"/>
            <w:tcBorders>
              <w:top w:val="nil"/>
              <w:left w:val="single" w:color="auto" w:sz="4" w:space="0"/>
              <w:bottom w:val="single" w:color="auto" w:sz="4" w:space="0"/>
              <w:right w:val="single" w:color="auto" w:sz="4" w:space="0"/>
            </w:tcBorders>
            <w:shd w:val="clear" w:color="auto" w:fill="auto"/>
            <w:noWrap/>
            <w:vAlign w:val="center"/>
          </w:tcPr>
          <w:p>
            <w:pP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805" w:type="dxa"/>
            <w:tcBorders>
              <w:top w:val="nil"/>
              <w:left w:val="nil"/>
              <w:bottom w:val="single" w:color="auto" w:sz="4" w:space="0"/>
              <w:right w:val="single" w:color="auto" w:sz="4" w:space="0"/>
            </w:tcBorders>
            <w:shd w:val="clear" w:color="auto" w:fill="auto"/>
            <w:noWrap/>
            <w:vAlign w:val="center"/>
          </w:tcPr>
          <w:p>
            <w:pP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900" w:type="dxa"/>
            <w:tcBorders>
              <w:top w:val="nil"/>
              <w:left w:val="nil"/>
              <w:bottom w:val="single" w:color="auto" w:sz="4" w:space="0"/>
              <w:right w:val="single" w:color="auto" w:sz="4" w:space="0"/>
            </w:tcBorders>
            <w:shd w:val="clear" w:color="auto" w:fill="auto"/>
            <w:noWrap/>
            <w:vAlign w:val="center"/>
          </w:tcPr>
          <w:p>
            <w:pP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r>
      <w:tr>
        <w:tblPrEx>
          <w:tblCellMar>
            <w:top w:w="0" w:type="dxa"/>
            <w:left w:w="108" w:type="dxa"/>
            <w:bottom w:w="0" w:type="dxa"/>
            <w:right w:w="108" w:type="dxa"/>
          </w:tblCellMar>
        </w:tblPrEx>
        <w:trPr>
          <w:trHeight w:val="547" w:hRule="atLeast"/>
          <w:jc w:val="center"/>
        </w:trPr>
        <w:tc>
          <w:tcPr>
            <w:tcW w:w="2160" w:type="dxa"/>
            <w:tcBorders>
              <w:top w:val="nil"/>
              <w:left w:val="single" w:color="auto" w:sz="4" w:space="0"/>
              <w:bottom w:val="single" w:color="auto" w:sz="4" w:space="0"/>
              <w:right w:val="single" w:color="auto" w:sz="4" w:space="0"/>
            </w:tcBorders>
            <w:shd w:val="clear" w:color="auto" w:fill="auto"/>
            <w:noWrap/>
            <w:vAlign w:val="center"/>
          </w:tcPr>
          <w:p>
            <w:pPr>
              <w:spacing w:line="340" w:lineRule="exact"/>
              <w:rPr>
                <w:color w:val="000000"/>
                <w:sz w:val="18"/>
                <w:szCs w:val="18"/>
              </w:rPr>
            </w:pPr>
            <w:r>
              <w:rPr>
                <w:rFonts w:hint="eastAsia"/>
                <w:color w:val="000000"/>
                <w:sz w:val="18"/>
                <w:szCs w:val="18"/>
              </w:rPr>
              <w:t>　</w:t>
            </w:r>
          </w:p>
        </w:tc>
        <w:tc>
          <w:tcPr>
            <w:tcW w:w="855" w:type="dxa"/>
            <w:tcBorders>
              <w:top w:val="nil"/>
              <w:left w:val="single" w:color="auto" w:sz="4" w:space="0"/>
              <w:bottom w:val="single" w:color="auto" w:sz="4" w:space="0"/>
              <w:right w:val="single" w:color="auto" w:sz="4" w:space="0"/>
            </w:tcBorders>
            <w:shd w:val="clear" w:color="auto" w:fill="auto"/>
            <w:noWrap/>
            <w:vAlign w:val="center"/>
          </w:tcPr>
          <w:p>
            <w:pP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851" w:type="dxa"/>
            <w:tcBorders>
              <w:top w:val="nil"/>
              <w:left w:val="nil"/>
              <w:bottom w:val="single" w:color="auto" w:sz="4" w:space="0"/>
              <w:right w:val="single" w:color="auto" w:sz="4" w:space="0"/>
            </w:tcBorders>
            <w:shd w:val="clear" w:color="auto" w:fill="auto"/>
            <w:noWrap/>
            <w:vAlign w:val="center"/>
          </w:tcPr>
          <w:p>
            <w:pP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992" w:type="dxa"/>
            <w:tcBorders>
              <w:top w:val="nil"/>
              <w:left w:val="nil"/>
              <w:bottom w:val="single" w:color="auto" w:sz="4" w:space="0"/>
              <w:right w:val="single" w:color="auto" w:sz="4" w:space="0"/>
            </w:tcBorders>
            <w:shd w:val="clear" w:color="auto" w:fill="auto"/>
            <w:noWrap/>
            <w:vAlign w:val="center"/>
          </w:tcPr>
          <w:p>
            <w:pP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2162" w:type="dxa"/>
            <w:tcBorders>
              <w:top w:val="nil"/>
              <w:left w:val="nil"/>
              <w:bottom w:val="single" w:color="auto" w:sz="4" w:space="0"/>
              <w:right w:val="single" w:color="auto" w:sz="4" w:space="0"/>
            </w:tcBorders>
            <w:shd w:val="clear" w:color="auto" w:fill="auto"/>
            <w:noWrap/>
            <w:vAlign w:val="center"/>
          </w:tcPr>
          <w:p>
            <w:pPr>
              <w:spacing w:line="340" w:lineRule="exact"/>
              <w:rPr>
                <w:rFonts w:asciiTheme="minorEastAsia" w:hAnsiTheme="minorEastAsia" w:eastAsiaTheme="minorEastAsia"/>
                <w:color w:val="000000"/>
                <w:sz w:val="18"/>
                <w:szCs w:val="18"/>
              </w:rPr>
            </w:pPr>
          </w:p>
        </w:tc>
        <w:tc>
          <w:tcPr>
            <w:tcW w:w="815" w:type="dxa"/>
            <w:tcBorders>
              <w:top w:val="nil"/>
              <w:left w:val="single" w:color="auto" w:sz="4" w:space="0"/>
              <w:bottom w:val="single" w:color="auto" w:sz="4" w:space="0"/>
              <w:right w:val="single" w:color="auto" w:sz="4" w:space="0"/>
            </w:tcBorders>
            <w:shd w:val="clear" w:color="auto" w:fill="auto"/>
            <w:noWrap/>
            <w:vAlign w:val="center"/>
          </w:tcPr>
          <w:p>
            <w:pP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805" w:type="dxa"/>
            <w:tcBorders>
              <w:top w:val="nil"/>
              <w:left w:val="nil"/>
              <w:bottom w:val="single" w:color="auto" w:sz="4" w:space="0"/>
              <w:right w:val="single" w:color="auto" w:sz="4" w:space="0"/>
            </w:tcBorders>
            <w:shd w:val="clear" w:color="auto" w:fill="auto"/>
            <w:noWrap/>
            <w:vAlign w:val="center"/>
          </w:tcPr>
          <w:p>
            <w:pP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c>
          <w:tcPr>
            <w:tcW w:w="900" w:type="dxa"/>
            <w:tcBorders>
              <w:top w:val="nil"/>
              <w:left w:val="nil"/>
              <w:bottom w:val="single" w:color="auto" w:sz="4" w:space="0"/>
              <w:right w:val="single" w:color="auto" w:sz="4" w:space="0"/>
            </w:tcBorders>
            <w:shd w:val="clear" w:color="auto" w:fill="auto"/>
            <w:noWrap/>
            <w:vAlign w:val="center"/>
          </w:tcPr>
          <w:p>
            <w:pP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r>
      <w:tr>
        <w:tblPrEx>
          <w:tblCellMar>
            <w:top w:w="0" w:type="dxa"/>
            <w:left w:w="108" w:type="dxa"/>
            <w:bottom w:w="0" w:type="dxa"/>
            <w:right w:w="108" w:type="dxa"/>
          </w:tblCellMar>
        </w:tblPrEx>
        <w:trPr>
          <w:trHeight w:val="557" w:hRule="atLeast"/>
          <w:jc w:val="center"/>
        </w:trPr>
        <w:tc>
          <w:tcPr>
            <w:tcW w:w="2160" w:type="dxa"/>
            <w:tcBorders>
              <w:top w:val="nil"/>
              <w:left w:val="single" w:color="auto" w:sz="4" w:space="0"/>
              <w:bottom w:val="single" w:color="auto" w:sz="4" w:space="0"/>
              <w:right w:val="single" w:color="auto" w:sz="4" w:space="0"/>
            </w:tcBorders>
            <w:shd w:val="clear" w:color="auto" w:fill="auto"/>
            <w:noWrap/>
            <w:vAlign w:val="center"/>
          </w:tcPr>
          <w:p>
            <w:pPr>
              <w:spacing w:line="340" w:lineRule="exact"/>
              <w:ind w:firstLine="180" w:firstLineChars="100"/>
              <w:jc w:val="center"/>
              <w:rPr>
                <w:color w:val="000000"/>
                <w:sz w:val="18"/>
                <w:szCs w:val="18"/>
              </w:rPr>
            </w:pPr>
            <w:r>
              <w:rPr>
                <w:rFonts w:hint="eastAsia"/>
                <w:color w:val="000000"/>
                <w:sz w:val="18"/>
                <w:szCs w:val="18"/>
              </w:rPr>
              <w:t>收入合计</w:t>
            </w:r>
          </w:p>
        </w:tc>
        <w:tc>
          <w:tcPr>
            <w:tcW w:w="8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233040</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233040</w:t>
            </w:r>
          </w:p>
        </w:tc>
        <w:tc>
          <w:tcPr>
            <w:tcW w:w="992"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100.00</w:t>
            </w:r>
            <w:r>
              <w:rPr>
                <w:rFonts w:hint="eastAsia" w:cs="Tahoma" w:asciiTheme="minorEastAsia" w:hAnsiTheme="minorEastAsia" w:eastAsiaTheme="minorEastAsia"/>
                <w:color w:val="000000"/>
                <w:sz w:val="18"/>
                <w:szCs w:val="18"/>
              </w:rPr>
              <w:t>%</w:t>
            </w:r>
          </w:p>
        </w:tc>
        <w:tc>
          <w:tcPr>
            <w:tcW w:w="2162" w:type="dxa"/>
            <w:tcBorders>
              <w:top w:val="nil"/>
              <w:left w:val="nil"/>
              <w:bottom w:val="single" w:color="auto" w:sz="4" w:space="0"/>
              <w:right w:val="single" w:color="auto" w:sz="4" w:space="0"/>
            </w:tcBorders>
            <w:shd w:val="clear" w:color="auto" w:fill="auto"/>
            <w:noWrap/>
            <w:vAlign w:val="center"/>
          </w:tcPr>
          <w:p>
            <w:pPr>
              <w:spacing w:line="340" w:lineRule="exact"/>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支出合计</w:t>
            </w:r>
          </w:p>
        </w:tc>
        <w:tc>
          <w:tcPr>
            <w:tcW w:w="81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123775</w:t>
            </w:r>
          </w:p>
        </w:tc>
        <w:tc>
          <w:tcPr>
            <w:tcW w:w="805"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123775</w:t>
            </w:r>
          </w:p>
        </w:tc>
        <w:tc>
          <w:tcPr>
            <w:tcW w:w="900"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100.00%</w:t>
            </w:r>
          </w:p>
        </w:tc>
      </w:tr>
      <w:tr>
        <w:tblPrEx>
          <w:tblCellMar>
            <w:top w:w="0" w:type="dxa"/>
            <w:left w:w="108" w:type="dxa"/>
            <w:bottom w:w="0" w:type="dxa"/>
            <w:right w:w="108" w:type="dxa"/>
          </w:tblCellMar>
        </w:tblPrEx>
        <w:trPr>
          <w:trHeight w:val="491" w:hRule="atLeast"/>
          <w:jc w:val="center"/>
        </w:trPr>
        <w:tc>
          <w:tcPr>
            <w:tcW w:w="2160" w:type="dxa"/>
            <w:tcBorders>
              <w:top w:val="nil"/>
              <w:left w:val="single" w:color="auto" w:sz="4" w:space="0"/>
              <w:bottom w:val="single" w:color="auto" w:sz="4" w:space="0"/>
              <w:right w:val="single" w:color="auto" w:sz="4" w:space="0"/>
            </w:tcBorders>
            <w:shd w:val="clear" w:color="auto" w:fill="auto"/>
            <w:noWrap/>
            <w:vAlign w:val="center"/>
          </w:tcPr>
          <w:p>
            <w:pPr>
              <w:rPr>
                <w:color w:val="000000"/>
                <w:sz w:val="18"/>
                <w:szCs w:val="18"/>
              </w:rPr>
            </w:pPr>
            <w:r>
              <w:rPr>
                <w:rFonts w:hint="eastAsia"/>
                <w:color w:val="000000"/>
                <w:sz w:val="18"/>
                <w:szCs w:val="18"/>
              </w:rPr>
              <w:t>　</w:t>
            </w:r>
          </w:p>
        </w:tc>
        <w:tc>
          <w:tcPr>
            <w:tcW w:w="855" w:type="dxa"/>
            <w:tcBorders>
              <w:top w:val="nil"/>
              <w:left w:val="nil"/>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51" w:type="dxa"/>
            <w:tcBorders>
              <w:top w:val="nil"/>
              <w:left w:val="nil"/>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992" w:type="dxa"/>
            <w:tcBorders>
              <w:top w:val="nil"/>
              <w:left w:val="nil"/>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2162" w:type="dxa"/>
            <w:tcBorders>
              <w:top w:val="nil"/>
              <w:left w:val="nil"/>
              <w:bottom w:val="single" w:color="auto" w:sz="4" w:space="0"/>
              <w:right w:val="single" w:color="auto" w:sz="4" w:space="0"/>
            </w:tcBorders>
            <w:shd w:val="clear" w:color="auto" w:fill="auto"/>
            <w:noWrap/>
            <w:vAlign w:val="center"/>
          </w:tcPr>
          <w:p>
            <w:pPr>
              <w:ind w:firstLine="90" w:firstLineChars="50"/>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结转下年</w:t>
            </w:r>
          </w:p>
        </w:tc>
        <w:tc>
          <w:tcPr>
            <w:tcW w:w="81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109265</w:t>
            </w:r>
          </w:p>
        </w:tc>
        <w:tc>
          <w:tcPr>
            <w:tcW w:w="805"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109265</w:t>
            </w:r>
          </w:p>
        </w:tc>
        <w:tc>
          <w:tcPr>
            <w:tcW w:w="900" w:type="dxa"/>
            <w:tcBorders>
              <w:top w:val="nil"/>
              <w:left w:val="nil"/>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　</w:t>
            </w:r>
          </w:p>
        </w:tc>
      </w:tr>
    </w:tbl>
    <w:p>
      <w:pPr>
        <w:tabs>
          <w:tab w:val="left" w:pos="8505"/>
        </w:tabs>
        <w:rPr>
          <w:rFonts w:ascii="黑体" w:hAnsi="黑体" w:eastAsia="黑体" w:cs="宋体"/>
          <w:color w:val="000000"/>
          <w:kern w:val="0"/>
          <w:sz w:val="36"/>
          <w:szCs w:val="36"/>
        </w:rPr>
      </w:pPr>
    </w:p>
    <w:p>
      <w:pPr>
        <w:tabs>
          <w:tab w:val="left" w:pos="8505"/>
        </w:tabs>
        <w:rPr>
          <w:rFonts w:ascii="黑体" w:hAnsi="黑体" w:eastAsia="黑体" w:cs="宋体"/>
          <w:color w:val="000000"/>
          <w:kern w:val="0"/>
          <w:sz w:val="36"/>
          <w:szCs w:val="36"/>
        </w:rPr>
      </w:pPr>
    </w:p>
    <w:p>
      <w:pPr>
        <w:tabs>
          <w:tab w:val="left" w:pos="8505"/>
        </w:tabs>
        <w:rPr>
          <w:rFonts w:ascii="黑体" w:hAnsi="黑体" w:eastAsia="黑体" w:cs="宋体"/>
          <w:color w:val="000000"/>
          <w:kern w:val="0"/>
          <w:sz w:val="36"/>
          <w:szCs w:val="36"/>
        </w:rPr>
      </w:pPr>
      <w:r>
        <w:rPr>
          <w:rFonts w:hint="eastAsia" w:ascii="黑体" w:hAnsi="黑体" w:eastAsia="黑体" w:cs="宋体"/>
          <w:color w:val="000000"/>
          <w:kern w:val="0"/>
          <w:sz w:val="36"/>
          <w:szCs w:val="36"/>
        </w:rPr>
        <w:t xml:space="preserve">附件2-04   </w:t>
      </w:r>
    </w:p>
    <w:p>
      <w:pPr>
        <w:pStyle w:val="2"/>
      </w:pPr>
    </w:p>
    <w:p>
      <w:pPr>
        <w:spacing w:line="500" w:lineRule="exact"/>
        <w:jc w:val="center"/>
        <w:rPr>
          <w:rFonts w:ascii="方正小标宋简体" w:eastAsia="方正小标宋简体"/>
          <w:color w:val="000000"/>
          <w:sz w:val="36"/>
          <w:szCs w:val="36"/>
        </w:rPr>
      </w:pPr>
      <w:r>
        <w:rPr>
          <w:rFonts w:ascii="方正小标宋简体" w:eastAsia="方正小标宋简体"/>
          <w:color w:val="000000"/>
          <w:sz w:val="36"/>
          <w:szCs w:val="36"/>
        </w:rPr>
        <w:t>2020</w:t>
      </w:r>
      <w:r>
        <w:rPr>
          <w:rFonts w:hint="eastAsia" w:ascii="方正小标宋简体" w:eastAsia="方正小标宋简体"/>
          <w:color w:val="000000"/>
          <w:sz w:val="36"/>
          <w:szCs w:val="36"/>
        </w:rPr>
        <w:t>年国有资本经营预算执行情况表</w:t>
      </w:r>
    </w:p>
    <w:p>
      <w:pPr>
        <w:spacing w:line="340" w:lineRule="exact"/>
        <w:ind w:firstLine="7875" w:firstLineChars="3750"/>
        <w:rPr>
          <w:rFonts w:ascii="宋体" w:hAnsi="宋体" w:cs="宋体"/>
          <w:color w:val="000000"/>
          <w:sz w:val="24"/>
        </w:rPr>
      </w:pPr>
      <w:r>
        <w:rPr>
          <w:rFonts w:hint="eastAsia"/>
          <w:color w:val="000000"/>
        </w:rPr>
        <w:t>单位：万元</w:t>
      </w:r>
    </w:p>
    <w:tbl>
      <w:tblPr>
        <w:tblStyle w:val="7"/>
        <w:tblW w:w="9453" w:type="dxa"/>
        <w:jc w:val="center"/>
        <w:tblLayout w:type="fixed"/>
        <w:tblCellMar>
          <w:top w:w="0" w:type="dxa"/>
          <w:left w:w="108" w:type="dxa"/>
          <w:bottom w:w="0" w:type="dxa"/>
          <w:right w:w="108" w:type="dxa"/>
        </w:tblCellMar>
      </w:tblPr>
      <w:tblGrid>
        <w:gridCol w:w="2056"/>
        <w:gridCol w:w="814"/>
        <w:gridCol w:w="810"/>
        <w:gridCol w:w="946"/>
        <w:gridCol w:w="2294"/>
        <w:gridCol w:w="813"/>
        <w:gridCol w:w="766"/>
        <w:gridCol w:w="954"/>
      </w:tblGrid>
      <w:tr>
        <w:tblPrEx>
          <w:tblCellMar>
            <w:top w:w="0" w:type="dxa"/>
            <w:left w:w="108" w:type="dxa"/>
            <w:bottom w:w="0" w:type="dxa"/>
            <w:right w:w="108" w:type="dxa"/>
          </w:tblCellMar>
        </w:tblPrEx>
        <w:trPr>
          <w:trHeight w:val="560" w:hRule="atLeast"/>
          <w:jc w:val="center"/>
        </w:trPr>
        <w:tc>
          <w:tcPr>
            <w:tcW w:w="462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40" w:lineRule="exact"/>
              <w:jc w:val="center"/>
              <w:rPr>
                <w:rFonts w:ascii="宋体" w:hAnsi="宋体" w:cs="宋体"/>
                <w:b/>
                <w:bCs/>
                <w:color w:val="000000"/>
                <w:kern w:val="0"/>
                <w:sz w:val="28"/>
                <w:szCs w:val="28"/>
              </w:rPr>
            </w:pPr>
            <w:r>
              <w:rPr>
                <w:rFonts w:hint="eastAsia" w:ascii="宋体" w:hAnsi="宋体" w:cs="宋体"/>
                <w:b/>
                <w:bCs/>
                <w:color w:val="000000"/>
                <w:kern w:val="0"/>
                <w:sz w:val="28"/>
                <w:szCs w:val="28"/>
              </w:rPr>
              <w:t>收     入</w:t>
            </w:r>
          </w:p>
        </w:tc>
        <w:tc>
          <w:tcPr>
            <w:tcW w:w="4827"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340" w:lineRule="exact"/>
              <w:jc w:val="center"/>
              <w:rPr>
                <w:rFonts w:ascii="宋体" w:hAnsi="宋体" w:cs="宋体"/>
                <w:b/>
                <w:bCs/>
                <w:color w:val="000000"/>
                <w:kern w:val="0"/>
                <w:sz w:val="28"/>
                <w:szCs w:val="28"/>
              </w:rPr>
            </w:pPr>
            <w:r>
              <w:rPr>
                <w:rFonts w:hint="eastAsia" w:ascii="宋体" w:hAnsi="宋体" w:cs="宋体"/>
                <w:b/>
                <w:bCs/>
                <w:color w:val="000000"/>
                <w:kern w:val="0"/>
                <w:sz w:val="28"/>
                <w:szCs w:val="28"/>
              </w:rPr>
              <w:t>支      出</w:t>
            </w:r>
          </w:p>
        </w:tc>
      </w:tr>
      <w:tr>
        <w:tblPrEx>
          <w:tblCellMar>
            <w:top w:w="0" w:type="dxa"/>
            <w:left w:w="108" w:type="dxa"/>
            <w:bottom w:w="0" w:type="dxa"/>
            <w:right w:w="108" w:type="dxa"/>
          </w:tblCellMar>
        </w:tblPrEx>
        <w:trPr>
          <w:trHeight w:val="924"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kern w:val="0"/>
                <w:sz w:val="18"/>
                <w:szCs w:val="18"/>
              </w:rPr>
            </w:pPr>
            <w:r>
              <w:rPr>
                <w:rFonts w:hint="eastAsia"/>
                <w:color w:val="000000"/>
                <w:sz w:val="18"/>
                <w:szCs w:val="18"/>
              </w:rPr>
              <w:t>项    目</w:t>
            </w:r>
          </w:p>
        </w:tc>
        <w:tc>
          <w:tcPr>
            <w:tcW w:w="81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年初预算数</w:t>
            </w:r>
          </w:p>
        </w:tc>
        <w:tc>
          <w:tcPr>
            <w:tcW w:w="810"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全年执行数</w:t>
            </w:r>
          </w:p>
        </w:tc>
        <w:tc>
          <w:tcPr>
            <w:tcW w:w="946"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占年初预算的%</w:t>
            </w:r>
          </w:p>
        </w:tc>
        <w:tc>
          <w:tcPr>
            <w:tcW w:w="229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项   目</w:t>
            </w:r>
          </w:p>
        </w:tc>
        <w:tc>
          <w:tcPr>
            <w:tcW w:w="813"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年初预算数</w:t>
            </w:r>
          </w:p>
        </w:tc>
        <w:tc>
          <w:tcPr>
            <w:tcW w:w="766"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全年执行数</w:t>
            </w:r>
          </w:p>
        </w:tc>
        <w:tc>
          <w:tcPr>
            <w:tcW w:w="95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占年初预算的%</w:t>
            </w:r>
          </w:p>
        </w:tc>
      </w:tr>
      <w:tr>
        <w:tblPrEx>
          <w:tblCellMar>
            <w:top w:w="0" w:type="dxa"/>
            <w:left w:w="108" w:type="dxa"/>
            <w:bottom w:w="0" w:type="dxa"/>
            <w:right w:w="108" w:type="dxa"/>
          </w:tblCellMar>
        </w:tblPrEx>
        <w:trPr>
          <w:trHeight w:val="792" w:hRule="atLeast"/>
          <w:jc w:val="center"/>
        </w:trPr>
        <w:tc>
          <w:tcPr>
            <w:tcW w:w="2056" w:type="dxa"/>
            <w:tcBorders>
              <w:top w:val="nil"/>
              <w:left w:val="single" w:color="auto" w:sz="4" w:space="0"/>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一、利润收入</w:t>
            </w:r>
          </w:p>
        </w:tc>
        <w:tc>
          <w:tcPr>
            <w:tcW w:w="81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182</w:t>
            </w:r>
          </w:p>
        </w:tc>
        <w:tc>
          <w:tcPr>
            <w:tcW w:w="81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182</w:t>
            </w:r>
          </w:p>
        </w:tc>
        <w:tc>
          <w:tcPr>
            <w:tcW w:w="94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100.00%</w:t>
            </w:r>
          </w:p>
        </w:tc>
        <w:tc>
          <w:tcPr>
            <w:tcW w:w="2294" w:type="dxa"/>
            <w:tcBorders>
              <w:top w:val="nil"/>
              <w:left w:val="nil"/>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一</w:t>
            </w:r>
            <w:r>
              <w:rPr>
                <w:rFonts w:asciiTheme="minorEastAsia" w:hAnsiTheme="minorEastAsia" w:eastAsiaTheme="minorEastAsia"/>
                <w:color w:val="000000"/>
                <w:sz w:val="18"/>
                <w:szCs w:val="18"/>
              </w:rPr>
              <w:t>、国有资本经营预算支出</w:t>
            </w:r>
          </w:p>
        </w:tc>
        <w:tc>
          <w:tcPr>
            <w:tcW w:w="813"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182</w:t>
            </w:r>
          </w:p>
        </w:tc>
        <w:tc>
          <w:tcPr>
            <w:tcW w:w="76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219</w:t>
            </w:r>
          </w:p>
        </w:tc>
        <w:tc>
          <w:tcPr>
            <w:tcW w:w="95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120.33</w:t>
            </w:r>
            <w:r>
              <w:rPr>
                <w:rFonts w:asciiTheme="minorEastAsia" w:hAnsiTheme="minorEastAsia" w:eastAsiaTheme="minorEastAsia"/>
                <w:color w:val="000000"/>
                <w:sz w:val="18"/>
                <w:szCs w:val="18"/>
              </w:rPr>
              <w:t>%</w:t>
            </w:r>
          </w:p>
        </w:tc>
      </w:tr>
      <w:tr>
        <w:tblPrEx>
          <w:tblCellMar>
            <w:top w:w="0" w:type="dxa"/>
            <w:left w:w="108" w:type="dxa"/>
            <w:bottom w:w="0" w:type="dxa"/>
            <w:right w:w="108" w:type="dxa"/>
          </w:tblCellMar>
        </w:tblPrEx>
        <w:trPr>
          <w:trHeight w:val="766" w:hRule="atLeast"/>
          <w:jc w:val="center"/>
        </w:trPr>
        <w:tc>
          <w:tcPr>
            <w:tcW w:w="2056" w:type="dxa"/>
            <w:tcBorders>
              <w:top w:val="nil"/>
              <w:left w:val="single" w:color="auto" w:sz="4" w:space="0"/>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二、股利、股息收入</w:t>
            </w:r>
          </w:p>
        </w:tc>
        <w:tc>
          <w:tcPr>
            <w:tcW w:w="81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195</w:t>
            </w:r>
          </w:p>
        </w:tc>
        <w:tc>
          <w:tcPr>
            <w:tcW w:w="81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231</w:t>
            </w:r>
          </w:p>
        </w:tc>
        <w:tc>
          <w:tcPr>
            <w:tcW w:w="94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118.46%</w:t>
            </w:r>
          </w:p>
        </w:tc>
        <w:tc>
          <w:tcPr>
            <w:tcW w:w="2294" w:type="dxa"/>
            <w:tcBorders>
              <w:top w:val="nil"/>
              <w:left w:val="nil"/>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解决</w:t>
            </w:r>
            <w:r>
              <w:rPr>
                <w:rFonts w:asciiTheme="minorEastAsia" w:hAnsiTheme="minorEastAsia" w:eastAsiaTheme="minorEastAsia"/>
                <w:color w:val="000000"/>
                <w:sz w:val="18"/>
                <w:szCs w:val="18"/>
              </w:rPr>
              <w:t>历史遗留问题及改革成本支出</w:t>
            </w:r>
          </w:p>
        </w:tc>
        <w:tc>
          <w:tcPr>
            <w:tcW w:w="813"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0</w:t>
            </w:r>
          </w:p>
        </w:tc>
        <w:tc>
          <w:tcPr>
            <w:tcW w:w="76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w:t>
            </w:r>
          </w:p>
        </w:tc>
        <w:tc>
          <w:tcPr>
            <w:tcW w:w="95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p>
        </w:tc>
      </w:tr>
      <w:tr>
        <w:tblPrEx>
          <w:tblCellMar>
            <w:top w:w="0" w:type="dxa"/>
            <w:left w:w="108" w:type="dxa"/>
            <w:bottom w:w="0" w:type="dxa"/>
            <w:right w:w="108" w:type="dxa"/>
          </w:tblCellMar>
        </w:tblPrEx>
        <w:trPr>
          <w:trHeight w:val="739" w:hRule="atLeast"/>
          <w:jc w:val="center"/>
        </w:trPr>
        <w:tc>
          <w:tcPr>
            <w:tcW w:w="2056" w:type="dxa"/>
            <w:tcBorders>
              <w:top w:val="nil"/>
              <w:left w:val="single" w:color="auto" w:sz="4" w:space="0"/>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三、产权转让收入</w:t>
            </w:r>
          </w:p>
        </w:tc>
        <w:tc>
          <w:tcPr>
            <w:tcW w:w="81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1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94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2294" w:type="dxa"/>
            <w:tcBorders>
              <w:top w:val="nil"/>
              <w:left w:val="nil"/>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1.国有</w:t>
            </w:r>
            <w:r>
              <w:rPr>
                <w:rFonts w:asciiTheme="minorEastAsia" w:hAnsiTheme="minorEastAsia" w:eastAsiaTheme="minorEastAsia"/>
                <w:color w:val="000000"/>
                <w:sz w:val="18"/>
                <w:szCs w:val="18"/>
              </w:rPr>
              <w:t>企业退休人员社会化管理补助支出</w:t>
            </w:r>
          </w:p>
        </w:tc>
        <w:tc>
          <w:tcPr>
            <w:tcW w:w="813"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0</w:t>
            </w:r>
          </w:p>
        </w:tc>
        <w:tc>
          <w:tcPr>
            <w:tcW w:w="76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w:t>
            </w:r>
          </w:p>
        </w:tc>
        <w:tc>
          <w:tcPr>
            <w:tcW w:w="95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p>
        </w:tc>
      </w:tr>
      <w:tr>
        <w:tblPrEx>
          <w:tblCellMar>
            <w:top w:w="0" w:type="dxa"/>
            <w:left w:w="108" w:type="dxa"/>
            <w:bottom w:w="0" w:type="dxa"/>
            <w:right w:w="108" w:type="dxa"/>
          </w:tblCellMar>
        </w:tblPrEx>
        <w:trPr>
          <w:trHeight w:val="746" w:hRule="atLeast"/>
          <w:jc w:val="center"/>
        </w:trPr>
        <w:tc>
          <w:tcPr>
            <w:tcW w:w="2056" w:type="dxa"/>
            <w:tcBorders>
              <w:top w:val="nil"/>
              <w:left w:val="single" w:color="auto" w:sz="4" w:space="0"/>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国有股权、股份转让收入</w:t>
            </w:r>
          </w:p>
        </w:tc>
        <w:tc>
          <w:tcPr>
            <w:tcW w:w="81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1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94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2294" w:type="dxa"/>
            <w:tcBorders>
              <w:top w:val="nil"/>
              <w:left w:val="nil"/>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国有</w:t>
            </w:r>
            <w:r>
              <w:rPr>
                <w:rFonts w:asciiTheme="minorEastAsia" w:hAnsiTheme="minorEastAsia" w:eastAsiaTheme="minorEastAsia"/>
                <w:color w:val="000000"/>
                <w:sz w:val="18"/>
                <w:szCs w:val="18"/>
              </w:rPr>
              <w:t>企业资本金注入</w:t>
            </w:r>
          </w:p>
        </w:tc>
        <w:tc>
          <w:tcPr>
            <w:tcW w:w="813"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182</w:t>
            </w:r>
          </w:p>
        </w:tc>
        <w:tc>
          <w:tcPr>
            <w:tcW w:w="76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218</w:t>
            </w:r>
          </w:p>
        </w:tc>
        <w:tc>
          <w:tcPr>
            <w:tcW w:w="95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119.78</w:t>
            </w:r>
            <w:r>
              <w:rPr>
                <w:rFonts w:asciiTheme="minorEastAsia" w:hAnsiTheme="minorEastAsia" w:eastAsiaTheme="minorEastAsia"/>
                <w:color w:val="000000"/>
                <w:sz w:val="18"/>
                <w:szCs w:val="18"/>
              </w:rPr>
              <w:t>%</w:t>
            </w:r>
          </w:p>
        </w:tc>
      </w:tr>
      <w:tr>
        <w:tblPrEx>
          <w:tblCellMar>
            <w:top w:w="0" w:type="dxa"/>
            <w:left w:w="108" w:type="dxa"/>
            <w:bottom w:w="0" w:type="dxa"/>
            <w:right w:w="108" w:type="dxa"/>
          </w:tblCellMar>
        </w:tblPrEx>
        <w:trPr>
          <w:trHeight w:val="753" w:hRule="atLeast"/>
          <w:jc w:val="center"/>
        </w:trPr>
        <w:tc>
          <w:tcPr>
            <w:tcW w:w="2056" w:type="dxa"/>
            <w:tcBorders>
              <w:top w:val="nil"/>
              <w:left w:val="single" w:color="auto" w:sz="4" w:space="0"/>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四、清算收入</w:t>
            </w:r>
          </w:p>
        </w:tc>
        <w:tc>
          <w:tcPr>
            <w:tcW w:w="81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1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94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2294" w:type="dxa"/>
            <w:tcBorders>
              <w:top w:val="nil"/>
              <w:left w:val="nil"/>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1.其他</w:t>
            </w:r>
            <w:r>
              <w:rPr>
                <w:rFonts w:asciiTheme="minorEastAsia" w:hAnsiTheme="minorEastAsia" w:eastAsiaTheme="minorEastAsia"/>
                <w:color w:val="000000"/>
                <w:sz w:val="18"/>
                <w:szCs w:val="18"/>
              </w:rPr>
              <w:t>国有企业资本金注入</w:t>
            </w:r>
          </w:p>
        </w:tc>
        <w:tc>
          <w:tcPr>
            <w:tcW w:w="813"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182</w:t>
            </w:r>
          </w:p>
        </w:tc>
        <w:tc>
          <w:tcPr>
            <w:tcW w:w="76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218</w:t>
            </w:r>
          </w:p>
        </w:tc>
        <w:tc>
          <w:tcPr>
            <w:tcW w:w="95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119.78</w:t>
            </w:r>
            <w:r>
              <w:rPr>
                <w:rFonts w:asciiTheme="minorEastAsia" w:hAnsiTheme="minorEastAsia" w:eastAsiaTheme="minorEastAsia"/>
                <w:color w:val="000000"/>
                <w:sz w:val="18"/>
                <w:szCs w:val="18"/>
              </w:rPr>
              <w:t>%</w:t>
            </w:r>
          </w:p>
        </w:tc>
      </w:tr>
      <w:tr>
        <w:tblPrEx>
          <w:tblCellMar>
            <w:top w:w="0" w:type="dxa"/>
            <w:left w:w="108" w:type="dxa"/>
            <w:bottom w:w="0" w:type="dxa"/>
            <w:right w:w="108" w:type="dxa"/>
          </w:tblCellMar>
        </w:tblPrEx>
        <w:trPr>
          <w:trHeight w:val="744" w:hRule="atLeast"/>
          <w:jc w:val="center"/>
        </w:trPr>
        <w:tc>
          <w:tcPr>
            <w:tcW w:w="2056" w:type="dxa"/>
            <w:tcBorders>
              <w:top w:val="nil"/>
              <w:left w:val="single" w:color="auto" w:sz="4" w:space="0"/>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五、其他国有资本经营预算收入</w:t>
            </w:r>
          </w:p>
        </w:tc>
        <w:tc>
          <w:tcPr>
            <w:tcW w:w="81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1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94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2294" w:type="dxa"/>
            <w:tcBorders>
              <w:top w:val="nil"/>
              <w:left w:val="nil"/>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其他</w:t>
            </w:r>
            <w:r>
              <w:rPr>
                <w:rFonts w:asciiTheme="minorEastAsia" w:hAnsiTheme="minorEastAsia" w:eastAsiaTheme="minorEastAsia"/>
                <w:color w:val="000000"/>
                <w:sz w:val="18"/>
                <w:szCs w:val="18"/>
              </w:rPr>
              <w:t>国有资本经营预算支出</w:t>
            </w:r>
          </w:p>
        </w:tc>
        <w:tc>
          <w:tcPr>
            <w:tcW w:w="813"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p>
        </w:tc>
        <w:tc>
          <w:tcPr>
            <w:tcW w:w="76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p>
        </w:tc>
        <w:tc>
          <w:tcPr>
            <w:tcW w:w="95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p>
        </w:tc>
      </w:tr>
      <w:tr>
        <w:tblPrEx>
          <w:tblCellMar>
            <w:top w:w="0" w:type="dxa"/>
            <w:left w:w="108" w:type="dxa"/>
            <w:bottom w:w="0" w:type="dxa"/>
            <w:right w:w="108" w:type="dxa"/>
          </w:tblCellMar>
        </w:tblPrEx>
        <w:trPr>
          <w:trHeight w:val="753" w:hRule="atLeast"/>
          <w:jc w:val="center"/>
        </w:trPr>
        <w:tc>
          <w:tcPr>
            <w:tcW w:w="2056" w:type="dxa"/>
            <w:tcBorders>
              <w:top w:val="nil"/>
              <w:left w:val="single" w:color="auto" w:sz="4" w:space="0"/>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1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1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94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2294" w:type="dxa"/>
            <w:tcBorders>
              <w:top w:val="nil"/>
              <w:left w:val="nil"/>
              <w:bottom w:val="single" w:color="auto" w:sz="4" w:space="0"/>
              <w:right w:val="single" w:color="auto" w:sz="4" w:space="0"/>
            </w:tcBorders>
            <w:shd w:val="clear" w:color="auto" w:fill="auto"/>
            <w:noWrap/>
            <w:vAlign w:val="center"/>
          </w:tcPr>
          <w:p>
            <w:pPr>
              <w:ind w:firstLine="360" w:firstLineChars="200"/>
              <w:rPr>
                <w:rFonts w:asciiTheme="minorEastAsia" w:hAnsiTheme="minorEastAsia" w:eastAsiaTheme="minorEastAsia"/>
                <w:color w:val="000000"/>
                <w:sz w:val="18"/>
                <w:szCs w:val="18"/>
              </w:rPr>
            </w:pPr>
          </w:p>
        </w:tc>
        <w:tc>
          <w:tcPr>
            <w:tcW w:w="813"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p>
        </w:tc>
        <w:tc>
          <w:tcPr>
            <w:tcW w:w="76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p>
        </w:tc>
        <w:tc>
          <w:tcPr>
            <w:tcW w:w="95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p>
        </w:tc>
      </w:tr>
      <w:tr>
        <w:tblPrEx>
          <w:tblCellMar>
            <w:top w:w="0" w:type="dxa"/>
            <w:left w:w="108" w:type="dxa"/>
            <w:bottom w:w="0" w:type="dxa"/>
            <w:right w:w="108" w:type="dxa"/>
          </w:tblCellMar>
        </w:tblPrEx>
        <w:trPr>
          <w:trHeight w:val="727" w:hRule="atLeast"/>
          <w:jc w:val="center"/>
        </w:trPr>
        <w:tc>
          <w:tcPr>
            <w:tcW w:w="2056" w:type="dxa"/>
            <w:tcBorders>
              <w:top w:val="nil"/>
              <w:left w:val="single" w:color="auto" w:sz="4" w:space="0"/>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二</w:t>
            </w:r>
            <w:r>
              <w:rPr>
                <w:rFonts w:asciiTheme="minorEastAsia" w:hAnsiTheme="minorEastAsia" w:eastAsiaTheme="minorEastAsia"/>
                <w:color w:val="000000"/>
                <w:sz w:val="18"/>
                <w:szCs w:val="18"/>
              </w:rPr>
              <w:t>、</w:t>
            </w:r>
            <w:r>
              <w:rPr>
                <w:rFonts w:hint="eastAsia" w:asciiTheme="minorEastAsia" w:hAnsiTheme="minorEastAsia" w:eastAsiaTheme="minorEastAsia"/>
                <w:color w:val="000000"/>
                <w:sz w:val="18"/>
                <w:szCs w:val="18"/>
              </w:rPr>
              <w:t>转移</w:t>
            </w:r>
            <w:r>
              <w:rPr>
                <w:rFonts w:asciiTheme="minorEastAsia" w:hAnsiTheme="minorEastAsia" w:eastAsiaTheme="minorEastAsia"/>
                <w:color w:val="000000"/>
                <w:sz w:val="18"/>
                <w:szCs w:val="18"/>
              </w:rPr>
              <w:t>性收入</w:t>
            </w:r>
          </w:p>
        </w:tc>
        <w:tc>
          <w:tcPr>
            <w:tcW w:w="81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0</w:t>
            </w:r>
          </w:p>
        </w:tc>
        <w:tc>
          <w:tcPr>
            <w:tcW w:w="81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5</w:t>
            </w:r>
          </w:p>
        </w:tc>
        <w:tc>
          <w:tcPr>
            <w:tcW w:w="94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2294" w:type="dxa"/>
            <w:tcBorders>
              <w:top w:val="nil"/>
              <w:left w:val="nil"/>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二</w:t>
            </w:r>
            <w:r>
              <w:rPr>
                <w:rFonts w:asciiTheme="minorEastAsia" w:hAnsiTheme="minorEastAsia" w:eastAsiaTheme="minorEastAsia"/>
                <w:color w:val="000000"/>
                <w:sz w:val="18"/>
                <w:szCs w:val="18"/>
              </w:rPr>
              <w:t>、</w:t>
            </w:r>
            <w:r>
              <w:rPr>
                <w:rFonts w:hint="eastAsia" w:asciiTheme="minorEastAsia" w:hAnsiTheme="minorEastAsia" w:eastAsiaTheme="minorEastAsia"/>
                <w:color w:val="000000"/>
                <w:sz w:val="18"/>
                <w:szCs w:val="18"/>
              </w:rPr>
              <w:t>转移性</w:t>
            </w:r>
            <w:r>
              <w:rPr>
                <w:rFonts w:asciiTheme="minorEastAsia" w:hAnsiTheme="minorEastAsia" w:eastAsiaTheme="minorEastAsia"/>
                <w:color w:val="000000"/>
                <w:sz w:val="18"/>
                <w:szCs w:val="18"/>
              </w:rPr>
              <w:t>支出</w:t>
            </w:r>
          </w:p>
        </w:tc>
        <w:tc>
          <w:tcPr>
            <w:tcW w:w="813"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p>
        </w:tc>
        <w:tc>
          <w:tcPr>
            <w:tcW w:w="76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p>
        </w:tc>
        <w:tc>
          <w:tcPr>
            <w:tcW w:w="95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p>
        </w:tc>
      </w:tr>
      <w:tr>
        <w:tblPrEx>
          <w:tblCellMar>
            <w:top w:w="0" w:type="dxa"/>
            <w:left w:w="108" w:type="dxa"/>
            <w:bottom w:w="0" w:type="dxa"/>
            <w:right w:w="108" w:type="dxa"/>
          </w:tblCellMar>
        </w:tblPrEx>
        <w:trPr>
          <w:trHeight w:val="629" w:hRule="atLeast"/>
          <w:jc w:val="center"/>
        </w:trPr>
        <w:tc>
          <w:tcPr>
            <w:tcW w:w="2056" w:type="dxa"/>
            <w:tcBorders>
              <w:top w:val="nil"/>
              <w:left w:val="single" w:color="auto" w:sz="4" w:space="0"/>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三</w:t>
            </w:r>
            <w:r>
              <w:rPr>
                <w:rFonts w:asciiTheme="minorEastAsia" w:hAnsiTheme="minorEastAsia" w:eastAsiaTheme="minorEastAsia"/>
                <w:color w:val="000000"/>
                <w:sz w:val="18"/>
                <w:szCs w:val="18"/>
              </w:rPr>
              <w:t>、</w:t>
            </w:r>
            <w:r>
              <w:rPr>
                <w:rFonts w:hint="eastAsia" w:asciiTheme="minorEastAsia" w:hAnsiTheme="minorEastAsia" w:eastAsiaTheme="minorEastAsia"/>
                <w:color w:val="000000"/>
                <w:sz w:val="18"/>
                <w:szCs w:val="18"/>
              </w:rPr>
              <w:t>上年</w:t>
            </w:r>
            <w:r>
              <w:rPr>
                <w:rFonts w:asciiTheme="minorEastAsia" w:hAnsiTheme="minorEastAsia" w:eastAsiaTheme="minorEastAsia"/>
                <w:color w:val="000000"/>
                <w:sz w:val="18"/>
                <w:szCs w:val="18"/>
              </w:rPr>
              <w:t>结转</w:t>
            </w:r>
            <w:r>
              <w:rPr>
                <w:rFonts w:hint="eastAsia" w:asciiTheme="minorEastAsia" w:hAnsiTheme="minorEastAsia" w:eastAsiaTheme="minorEastAsia"/>
                <w:color w:val="000000"/>
                <w:sz w:val="18"/>
                <w:szCs w:val="18"/>
              </w:rPr>
              <w:t>　</w:t>
            </w:r>
          </w:p>
        </w:tc>
        <w:tc>
          <w:tcPr>
            <w:tcW w:w="81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1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94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2294" w:type="dxa"/>
            <w:tcBorders>
              <w:top w:val="nil"/>
              <w:left w:val="nil"/>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三</w:t>
            </w:r>
            <w:r>
              <w:rPr>
                <w:rFonts w:asciiTheme="minorEastAsia" w:hAnsiTheme="minorEastAsia" w:eastAsiaTheme="minorEastAsia"/>
                <w:color w:val="000000"/>
                <w:sz w:val="18"/>
                <w:szCs w:val="18"/>
              </w:rPr>
              <w:t>、</w:t>
            </w:r>
            <w:r>
              <w:rPr>
                <w:rFonts w:hint="eastAsia" w:asciiTheme="minorEastAsia" w:hAnsiTheme="minorEastAsia" w:eastAsiaTheme="minorEastAsia"/>
                <w:color w:val="000000"/>
                <w:sz w:val="18"/>
                <w:szCs w:val="18"/>
              </w:rPr>
              <w:t>调出</w:t>
            </w:r>
            <w:r>
              <w:rPr>
                <w:rFonts w:asciiTheme="minorEastAsia" w:hAnsiTheme="minorEastAsia" w:eastAsiaTheme="minorEastAsia"/>
                <w:color w:val="000000"/>
                <w:sz w:val="18"/>
                <w:szCs w:val="18"/>
              </w:rPr>
              <w:t>资金</w:t>
            </w:r>
          </w:p>
        </w:tc>
        <w:tc>
          <w:tcPr>
            <w:tcW w:w="813"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w:t>
            </w:r>
            <w:r>
              <w:rPr>
                <w:rFonts w:asciiTheme="minorEastAsia" w:hAnsiTheme="minorEastAsia" w:eastAsiaTheme="minorEastAsia"/>
                <w:color w:val="000000"/>
                <w:sz w:val="18"/>
                <w:szCs w:val="18"/>
              </w:rPr>
              <w:t>95</w:t>
            </w:r>
          </w:p>
        </w:tc>
        <w:tc>
          <w:tcPr>
            <w:tcW w:w="76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195</w:t>
            </w:r>
          </w:p>
        </w:tc>
        <w:tc>
          <w:tcPr>
            <w:tcW w:w="95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100.00%</w:t>
            </w:r>
          </w:p>
        </w:tc>
      </w:tr>
      <w:tr>
        <w:tblPrEx>
          <w:tblCellMar>
            <w:top w:w="0" w:type="dxa"/>
            <w:left w:w="108" w:type="dxa"/>
            <w:bottom w:w="0" w:type="dxa"/>
            <w:right w:w="108" w:type="dxa"/>
          </w:tblCellMar>
        </w:tblPrEx>
        <w:trPr>
          <w:trHeight w:val="756" w:hRule="atLeast"/>
          <w:jc w:val="center"/>
        </w:trPr>
        <w:tc>
          <w:tcPr>
            <w:tcW w:w="2056" w:type="dxa"/>
            <w:tcBorders>
              <w:top w:val="nil"/>
              <w:left w:val="single" w:color="auto" w:sz="4" w:space="0"/>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收入合计</w:t>
            </w:r>
          </w:p>
        </w:tc>
        <w:tc>
          <w:tcPr>
            <w:tcW w:w="81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377</w:t>
            </w:r>
          </w:p>
        </w:tc>
        <w:tc>
          <w:tcPr>
            <w:tcW w:w="81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418</w:t>
            </w:r>
          </w:p>
        </w:tc>
        <w:tc>
          <w:tcPr>
            <w:tcW w:w="94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110.88%</w:t>
            </w:r>
          </w:p>
        </w:tc>
        <w:tc>
          <w:tcPr>
            <w:tcW w:w="2294" w:type="dxa"/>
            <w:tcBorders>
              <w:top w:val="nil"/>
              <w:left w:val="nil"/>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支出合计</w:t>
            </w:r>
          </w:p>
        </w:tc>
        <w:tc>
          <w:tcPr>
            <w:tcW w:w="813"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377</w:t>
            </w:r>
          </w:p>
        </w:tc>
        <w:tc>
          <w:tcPr>
            <w:tcW w:w="76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414</w:t>
            </w:r>
          </w:p>
        </w:tc>
        <w:tc>
          <w:tcPr>
            <w:tcW w:w="95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100.00%</w:t>
            </w:r>
          </w:p>
        </w:tc>
      </w:tr>
      <w:tr>
        <w:tblPrEx>
          <w:tblCellMar>
            <w:top w:w="0" w:type="dxa"/>
            <w:left w:w="108" w:type="dxa"/>
            <w:bottom w:w="0" w:type="dxa"/>
            <w:right w:w="108" w:type="dxa"/>
          </w:tblCellMar>
        </w:tblPrEx>
        <w:trPr>
          <w:trHeight w:val="658" w:hRule="atLeast"/>
          <w:jc w:val="center"/>
        </w:trPr>
        <w:tc>
          <w:tcPr>
            <w:tcW w:w="2056" w:type="dxa"/>
            <w:tcBorders>
              <w:top w:val="nil"/>
              <w:left w:val="single" w:color="auto" w:sz="4" w:space="0"/>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p>
        </w:tc>
        <w:tc>
          <w:tcPr>
            <w:tcW w:w="81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81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94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2294" w:type="dxa"/>
            <w:tcBorders>
              <w:top w:val="nil"/>
              <w:left w:val="nil"/>
              <w:bottom w:val="single" w:color="auto" w:sz="4" w:space="0"/>
              <w:right w:val="single" w:color="auto" w:sz="4" w:space="0"/>
            </w:tcBorders>
            <w:shd w:val="clear" w:color="auto" w:fill="auto"/>
            <w:noWrap/>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结转</w:t>
            </w:r>
            <w:r>
              <w:rPr>
                <w:rFonts w:asciiTheme="minorEastAsia" w:hAnsiTheme="minorEastAsia" w:eastAsiaTheme="minorEastAsia"/>
                <w:color w:val="000000"/>
                <w:sz w:val="18"/>
                <w:szCs w:val="18"/>
              </w:rPr>
              <w:t>下年</w:t>
            </w:r>
          </w:p>
        </w:tc>
        <w:tc>
          <w:tcPr>
            <w:tcW w:w="813"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c>
          <w:tcPr>
            <w:tcW w:w="76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4</w:t>
            </w:r>
          </w:p>
        </w:tc>
        <w:tc>
          <w:tcPr>
            <w:tcW w:w="954"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w:t>
            </w:r>
          </w:p>
        </w:tc>
      </w:tr>
    </w:tbl>
    <w:p>
      <w:pPr>
        <w:rPr>
          <w:rFonts w:ascii="黑体" w:hAnsi="黑体" w:eastAsia="黑体" w:cs="宋体"/>
          <w:kern w:val="0"/>
          <w:sz w:val="36"/>
          <w:szCs w:val="36"/>
        </w:rPr>
      </w:pPr>
    </w:p>
    <w:p>
      <w:pPr>
        <w:pStyle w:val="2"/>
      </w:pPr>
    </w:p>
    <w:p>
      <w:pPr>
        <w:pStyle w:val="2"/>
      </w:pPr>
    </w:p>
    <w:p>
      <w:pPr>
        <w:pStyle w:val="2"/>
      </w:pPr>
    </w:p>
    <w:p>
      <w:pPr>
        <w:rPr>
          <w:rFonts w:ascii="黑体" w:hAnsi="黑体" w:eastAsia="黑体" w:cs="宋体"/>
          <w:kern w:val="0"/>
          <w:sz w:val="36"/>
          <w:szCs w:val="36"/>
        </w:rPr>
      </w:pPr>
      <w:r>
        <w:rPr>
          <w:rFonts w:hint="eastAsia" w:ascii="黑体" w:hAnsi="黑体" w:eastAsia="黑体" w:cs="宋体"/>
          <w:kern w:val="0"/>
          <w:sz w:val="36"/>
          <w:szCs w:val="36"/>
        </w:rPr>
        <w:t xml:space="preserve">附件3-01    </w:t>
      </w:r>
    </w:p>
    <w:p>
      <w:pPr>
        <w:spacing w:line="400" w:lineRule="exact"/>
        <w:jc w:val="center"/>
        <w:rPr>
          <w:rFonts w:ascii="方正小标宋简体" w:hAnsi="宋体" w:eastAsia="方正小标宋简体" w:cs="宋体"/>
          <w:sz w:val="36"/>
          <w:szCs w:val="36"/>
        </w:rPr>
      </w:pPr>
      <w:r>
        <w:rPr>
          <w:rFonts w:hint="eastAsia" w:ascii="方正小标宋简体" w:eastAsia="方正小标宋简体"/>
          <w:sz w:val="36"/>
          <w:szCs w:val="36"/>
        </w:rPr>
        <w:t>2021年一般公共预算（草案）计划表</w:t>
      </w:r>
    </w:p>
    <w:p>
      <w:pPr>
        <w:spacing w:line="360" w:lineRule="exact"/>
        <w:rPr>
          <w:rFonts w:ascii="宋体" w:hAnsi="宋体" w:cs="宋体"/>
          <w:sz w:val="24"/>
        </w:rPr>
      </w:pPr>
      <w:r>
        <w:rPr>
          <w:rFonts w:hint="eastAsia" w:ascii="仿宋_GB2312" w:hAnsi="宋体" w:eastAsia="仿宋_GB2312" w:cs="宋体"/>
          <w:kern w:val="0"/>
          <w:sz w:val="32"/>
          <w:szCs w:val="32"/>
        </w:rPr>
        <w:t xml:space="preserve">                                                 </w:t>
      </w:r>
      <w:r>
        <w:rPr>
          <w:rFonts w:hint="eastAsia"/>
        </w:rPr>
        <w:t>单位：万元</w:t>
      </w:r>
    </w:p>
    <w:tbl>
      <w:tblPr>
        <w:tblStyle w:val="7"/>
        <w:tblW w:w="9375" w:type="dxa"/>
        <w:tblInd w:w="93" w:type="dxa"/>
        <w:tblLayout w:type="autofit"/>
        <w:tblCellMar>
          <w:top w:w="0" w:type="dxa"/>
          <w:left w:w="108" w:type="dxa"/>
          <w:bottom w:w="0" w:type="dxa"/>
          <w:right w:w="108" w:type="dxa"/>
        </w:tblCellMar>
      </w:tblPr>
      <w:tblGrid>
        <w:gridCol w:w="2620"/>
        <w:gridCol w:w="1080"/>
        <w:gridCol w:w="2615"/>
        <w:gridCol w:w="1080"/>
        <w:gridCol w:w="1080"/>
        <w:gridCol w:w="900"/>
      </w:tblGrid>
      <w:tr>
        <w:tblPrEx>
          <w:tblCellMar>
            <w:top w:w="0" w:type="dxa"/>
            <w:left w:w="108" w:type="dxa"/>
            <w:bottom w:w="0" w:type="dxa"/>
            <w:right w:w="108" w:type="dxa"/>
          </w:tblCellMar>
        </w:tblPrEx>
        <w:trPr>
          <w:trHeight w:val="355" w:hRule="atLeast"/>
        </w:trPr>
        <w:tc>
          <w:tcPr>
            <w:tcW w:w="370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exact"/>
              <w:jc w:val="center"/>
              <w:rPr>
                <w:rFonts w:ascii="宋体" w:hAnsi="宋体" w:cs="宋体"/>
                <w:b/>
                <w:bCs/>
                <w:kern w:val="0"/>
                <w:sz w:val="24"/>
              </w:rPr>
            </w:pPr>
            <w:r>
              <w:rPr>
                <w:rFonts w:hint="eastAsia" w:ascii="宋体" w:hAnsi="宋体" w:cs="宋体"/>
                <w:b/>
                <w:bCs/>
                <w:kern w:val="0"/>
                <w:sz w:val="24"/>
              </w:rPr>
              <w:t>收 入 预 算</w:t>
            </w:r>
          </w:p>
        </w:tc>
        <w:tc>
          <w:tcPr>
            <w:tcW w:w="5675"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spacing w:line="360" w:lineRule="exact"/>
              <w:jc w:val="center"/>
              <w:rPr>
                <w:rFonts w:ascii="宋体" w:hAnsi="宋体" w:cs="宋体"/>
                <w:b/>
                <w:bCs/>
                <w:kern w:val="0"/>
                <w:sz w:val="24"/>
              </w:rPr>
            </w:pPr>
            <w:r>
              <w:rPr>
                <w:rFonts w:hint="eastAsia" w:ascii="宋体" w:hAnsi="宋体" w:cs="宋体"/>
                <w:b/>
                <w:bCs/>
                <w:kern w:val="0"/>
                <w:sz w:val="24"/>
              </w:rPr>
              <w:t>支  出  预  算</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ascii="宋体" w:hAnsi="宋体" w:cs="宋体"/>
                <w:bCs/>
                <w:kern w:val="0"/>
                <w:sz w:val="18"/>
                <w:szCs w:val="18"/>
              </w:rPr>
            </w:pPr>
            <w:r>
              <w:rPr>
                <w:rFonts w:hint="eastAsia" w:ascii="宋体" w:hAnsi="宋体" w:cs="宋体"/>
                <w:bCs/>
                <w:kern w:val="0"/>
                <w:sz w:val="18"/>
                <w:szCs w:val="18"/>
              </w:rPr>
              <w:t>项   目</w:t>
            </w:r>
          </w:p>
        </w:tc>
        <w:tc>
          <w:tcPr>
            <w:tcW w:w="1080" w:type="dxa"/>
            <w:tcBorders>
              <w:top w:val="nil"/>
              <w:left w:val="nil"/>
              <w:bottom w:val="single" w:color="auto" w:sz="4" w:space="0"/>
              <w:right w:val="single" w:color="auto" w:sz="4" w:space="0"/>
            </w:tcBorders>
            <w:shd w:val="clear" w:color="auto" w:fill="auto"/>
            <w:vAlign w:val="center"/>
          </w:tcPr>
          <w:p>
            <w:pPr>
              <w:widowControl/>
              <w:spacing w:line="220" w:lineRule="exact"/>
              <w:jc w:val="center"/>
              <w:rPr>
                <w:rFonts w:ascii="宋体" w:hAnsi="宋体" w:cs="宋体"/>
                <w:bCs/>
                <w:kern w:val="0"/>
                <w:sz w:val="18"/>
                <w:szCs w:val="18"/>
              </w:rPr>
            </w:pPr>
            <w:r>
              <w:rPr>
                <w:rFonts w:hint="eastAsia" w:ascii="宋体" w:hAnsi="宋体" w:cs="宋体"/>
                <w:bCs/>
                <w:kern w:val="0"/>
                <w:sz w:val="18"/>
                <w:szCs w:val="18"/>
              </w:rPr>
              <w:t>金  额</w:t>
            </w:r>
          </w:p>
        </w:tc>
        <w:tc>
          <w:tcPr>
            <w:tcW w:w="2615" w:type="dxa"/>
            <w:tcBorders>
              <w:top w:val="nil"/>
              <w:left w:val="nil"/>
              <w:bottom w:val="single" w:color="auto" w:sz="4" w:space="0"/>
              <w:right w:val="single" w:color="auto" w:sz="4" w:space="0"/>
            </w:tcBorders>
            <w:shd w:val="clear" w:color="auto" w:fill="auto"/>
            <w:vAlign w:val="center"/>
          </w:tcPr>
          <w:p>
            <w:pPr>
              <w:widowControl/>
              <w:spacing w:line="220" w:lineRule="exact"/>
              <w:jc w:val="center"/>
              <w:rPr>
                <w:rFonts w:ascii="宋体" w:hAnsi="宋体" w:cs="宋体"/>
                <w:bCs/>
                <w:kern w:val="0"/>
                <w:sz w:val="18"/>
                <w:szCs w:val="18"/>
              </w:rPr>
            </w:pPr>
            <w:r>
              <w:rPr>
                <w:rFonts w:hint="eastAsia" w:ascii="宋体" w:hAnsi="宋体" w:cs="宋体"/>
                <w:bCs/>
                <w:kern w:val="0"/>
                <w:sz w:val="18"/>
                <w:szCs w:val="18"/>
              </w:rPr>
              <w:t>项   目</w:t>
            </w:r>
          </w:p>
        </w:tc>
        <w:tc>
          <w:tcPr>
            <w:tcW w:w="1080" w:type="dxa"/>
            <w:tcBorders>
              <w:top w:val="nil"/>
              <w:left w:val="nil"/>
              <w:bottom w:val="single" w:color="auto" w:sz="4" w:space="0"/>
              <w:right w:val="single" w:color="auto" w:sz="4" w:space="0"/>
            </w:tcBorders>
            <w:shd w:val="clear" w:color="auto" w:fill="auto"/>
            <w:vAlign w:val="center"/>
          </w:tcPr>
          <w:p>
            <w:pPr>
              <w:widowControl/>
              <w:spacing w:line="220" w:lineRule="exact"/>
              <w:jc w:val="center"/>
              <w:rPr>
                <w:rFonts w:ascii="宋体" w:hAnsi="宋体" w:cs="宋体"/>
                <w:bCs/>
                <w:kern w:val="0"/>
                <w:sz w:val="18"/>
                <w:szCs w:val="18"/>
              </w:rPr>
            </w:pPr>
            <w:r>
              <w:rPr>
                <w:rFonts w:hint="eastAsia" w:ascii="宋体" w:hAnsi="宋体" w:cs="宋体"/>
                <w:bCs/>
                <w:kern w:val="0"/>
                <w:sz w:val="18"/>
                <w:szCs w:val="18"/>
              </w:rPr>
              <w:t>合  计</w:t>
            </w:r>
          </w:p>
        </w:tc>
        <w:tc>
          <w:tcPr>
            <w:tcW w:w="1080" w:type="dxa"/>
            <w:tcBorders>
              <w:top w:val="nil"/>
              <w:left w:val="nil"/>
              <w:bottom w:val="single" w:color="auto" w:sz="4" w:space="0"/>
              <w:right w:val="single" w:color="auto" w:sz="4" w:space="0"/>
            </w:tcBorders>
            <w:shd w:val="clear" w:color="auto" w:fill="auto"/>
            <w:vAlign w:val="center"/>
          </w:tcPr>
          <w:p>
            <w:pPr>
              <w:widowControl/>
              <w:spacing w:line="220" w:lineRule="exact"/>
              <w:ind w:firstLine="90" w:firstLineChars="50"/>
              <w:jc w:val="left"/>
              <w:rPr>
                <w:rFonts w:ascii="宋体" w:hAnsi="宋体" w:cs="宋体"/>
                <w:bCs/>
                <w:kern w:val="0"/>
                <w:sz w:val="18"/>
                <w:szCs w:val="18"/>
              </w:rPr>
            </w:pPr>
            <w:r>
              <w:rPr>
                <w:rFonts w:hint="eastAsia" w:ascii="宋体" w:hAnsi="宋体" w:cs="宋体"/>
                <w:bCs/>
                <w:kern w:val="0"/>
                <w:sz w:val="18"/>
                <w:szCs w:val="18"/>
              </w:rPr>
              <w:t>县本级</w:t>
            </w:r>
          </w:p>
        </w:tc>
        <w:tc>
          <w:tcPr>
            <w:tcW w:w="900" w:type="dxa"/>
            <w:tcBorders>
              <w:top w:val="nil"/>
              <w:left w:val="nil"/>
              <w:bottom w:val="single" w:color="auto" w:sz="4" w:space="0"/>
              <w:right w:val="single" w:color="auto" w:sz="4" w:space="0"/>
            </w:tcBorders>
            <w:shd w:val="clear" w:color="auto" w:fill="auto"/>
            <w:vAlign w:val="center"/>
          </w:tcPr>
          <w:p>
            <w:pPr>
              <w:widowControl/>
              <w:spacing w:line="220" w:lineRule="exact"/>
              <w:ind w:firstLine="90" w:firstLineChars="50"/>
              <w:jc w:val="left"/>
              <w:rPr>
                <w:rFonts w:ascii="宋体" w:hAnsi="宋体" w:cs="宋体"/>
                <w:bCs/>
                <w:kern w:val="0"/>
                <w:sz w:val="18"/>
                <w:szCs w:val="18"/>
              </w:rPr>
            </w:pPr>
            <w:r>
              <w:rPr>
                <w:rFonts w:hint="eastAsia" w:ascii="宋体" w:hAnsi="宋体" w:cs="宋体"/>
                <w:bCs/>
                <w:kern w:val="0"/>
                <w:sz w:val="18"/>
                <w:szCs w:val="18"/>
              </w:rPr>
              <w:t>乡 镇</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bCs/>
                <w:kern w:val="0"/>
                <w:sz w:val="18"/>
                <w:szCs w:val="18"/>
              </w:rPr>
            </w:pPr>
            <w:r>
              <w:rPr>
                <w:rFonts w:hint="eastAsia" w:ascii="宋体" w:hAnsi="宋体" w:cs="宋体"/>
                <w:bCs/>
                <w:kern w:val="0"/>
                <w:sz w:val="18"/>
                <w:szCs w:val="18"/>
              </w:rPr>
              <w:t>一、地方一般公共预算收入</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55000</w:t>
            </w:r>
            <w:r>
              <w:rPr>
                <w:rFonts w:hint="eastAsia" w:ascii="宋体" w:hAnsi="宋体" w:cs="宋体"/>
                <w:bCs/>
                <w:kern w:val="0"/>
                <w:sz w:val="18"/>
                <w:szCs w:val="18"/>
              </w:rPr>
              <w:t xml:space="preserve"> </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bCs/>
                <w:kern w:val="0"/>
                <w:sz w:val="18"/>
                <w:szCs w:val="18"/>
              </w:rPr>
            </w:pPr>
            <w:r>
              <w:rPr>
                <w:rFonts w:hint="eastAsia" w:ascii="宋体" w:hAnsi="宋体" w:cs="宋体"/>
                <w:bCs/>
                <w:kern w:val="0"/>
                <w:sz w:val="18"/>
                <w:szCs w:val="18"/>
              </w:rPr>
              <w:t>一、地方一般公共预算支出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293</w:t>
            </w:r>
            <w:r>
              <w:rPr>
                <w:rFonts w:hint="eastAsia" w:ascii="宋体" w:hAnsi="宋体" w:cs="宋体"/>
                <w:bCs/>
                <w:kern w:val="0"/>
                <w:sz w:val="18"/>
                <w:szCs w:val="18"/>
              </w:rPr>
              <w:t>719</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264130</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29</w:t>
            </w:r>
            <w:r>
              <w:rPr>
                <w:rFonts w:hint="eastAsia" w:ascii="宋体" w:hAnsi="宋体" w:cs="宋体"/>
                <w:kern w:val="0"/>
                <w:sz w:val="18"/>
                <w:szCs w:val="18"/>
              </w:rPr>
              <w:t>589</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（一）税收收入</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4</w:t>
            </w:r>
            <w:r>
              <w:rPr>
                <w:rFonts w:hint="eastAsia" w:ascii="宋体" w:hAnsi="宋体" w:cs="宋体"/>
                <w:kern w:val="0"/>
                <w:sz w:val="18"/>
                <w:szCs w:val="18"/>
              </w:rPr>
              <w:t>2</w:t>
            </w:r>
            <w:r>
              <w:rPr>
                <w:rFonts w:ascii="宋体" w:hAnsi="宋体" w:cs="宋体"/>
                <w:kern w:val="0"/>
                <w:sz w:val="18"/>
                <w:szCs w:val="18"/>
              </w:rPr>
              <w:t>000</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201、一般公共服务支出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4</w:t>
            </w:r>
            <w:r>
              <w:rPr>
                <w:rFonts w:hint="eastAsia" w:ascii="宋体" w:hAnsi="宋体" w:cs="宋体"/>
                <w:bCs/>
                <w:kern w:val="0"/>
                <w:sz w:val="18"/>
                <w:szCs w:val="18"/>
              </w:rPr>
              <w:t>4177</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313</w:t>
            </w:r>
            <w:r>
              <w:rPr>
                <w:rFonts w:hint="eastAsia" w:ascii="宋体" w:hAnsi="宋体" w:cs="宋体"/>
                <w:kern w:val="0"/>
                <w:sz w:val="18"/>
                <w:szCs w:val="18"/>
              </w:rPr>
              <w:t>05</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12</w:t>
            </w:r>
            <w:r>
              <w:rPr>
                <w:rFonts w:hint="eastAsia" w:ascii="宋体" w:hAnsi="宋体" w:cs="宋体"/>
                <w:kern w:val="0"/>
                <w:sz w:val="18"/>
                <w:szCs w:val="18"/>
              </w:rPr>
              <w:t>87</w:t>
            </w:r>
            <w:r>
              <w:rPr>
                <w:rFonts w:ascii="宋体" w:hAnsi="宋体" w:cs="宋体"/>
                <w:kern w:val="0"/>
                <w:sz w:val="18"/>
                <w:szCs w:val="18"/>
              </w:rPr>
              <w:t>2</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（二）非税收入</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1</w:t>
            </w:r>
            <w:r>
              <w:rPr>
                <w:rFonts w:hint="eastAsia" w:ascii="宋体" w:hAnsi="宋体" w:cs="宋体"/>
                <w:kern w:val="0"/>
                <w:sz w:val="18"/>
                <w:szCs w:val="18"/>
              </w:rPr>
              <w:t>3</w:t>
            </w:r>
            <w:r>
              <w:rPr>
                <w:rFonts w:ascii="宋体" w:hAnsi="宋体" w:cs="宋体"/>
                <w:kern w:val="0"/>
                <w:sz w:val="18"/>
                <w:szCs w:val="18"/>
              </w:rPr>
              <w:t>000</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w:t>
            </w:r>
            <w:r>
              <w:rPr>
                <w:rFonts w:ascii="宋体" w:hAnsi="宋体" w:cs="宋体"/>
                <w:kern w:val="0"/>
                <w:sz w:val="18"/>
                <w:szCs w:val="18"/>
              </w:rPr>
              <w:t>03、国防支出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hint="eastAsia" w:ascii="宋体" w:hAnsi="宋体" w:cs="宋体"/>
                <w:bCs/>
                <w:kern w:val="0"/>
                <w:sz w:val="18"/>
                <w:szCs w:val="18"/>
              </w:rPr>
              <w:t>80</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80</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0</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　</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204、公共安全支出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9814</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9761</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53</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bCs/>
                <w:kern w:val="0"/>
                <w:sz w:val="18"/>
                <w:szCs w:val="18"/>
              </w:rPr>
            </w:pPr>
            <w:r>
              <w:rPr>
                <w:rFonts w:hint="eastAsia" w:ascii="宋体" w:hAnsi="宋体" w:cs="宋体"/>
                <w:bCs/>
                <w:kern w:val="0"/>
                <w:sz w:val="18"/>
                <w:szCs w:val="18"/>
              </w:rPr>
              <w:t>二、上级补助收入</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hint="eastAsia" w:ascii="宋体" w:hAnsi="宋体" w:cs="宋体"/>
                <w:bCs/>
                <w:kern w:val="0"/>
                <w:sz w:val="18"/>
                <w:szCs w:val="18"/>
              </w:rPr>
              <w:t>199777</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205、教育支出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512</w:t>
            </w:r>
            <w:r>
              <w:rPr>
                <w:rFonts w:hint="eastAsia" w:ascii="宋体" w:hAnsi="宋体" w:cs="宋体"/>
                <w:bCs/>
                <w:kern w:val="0"/>
                <w:sz w:val="18"/>
                <w:szCs w:val="18"/>
              </w:rPr>
              <w:t>83</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512</w:t>
            </w:r>
            <w:r>
              <w:rPr>
                <w:rFonts w:hint="eastAsia" w:ascii="宋体" w:hAnsi="宋体" w:cs="宋体"/>
                <w:kern w:val="0"/>
                <w:sz w:val="18"/>
                <w:szCs w:val="18"/>
              </w:rPr>
              <w:t>83</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0</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（一）返还性收入</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15471</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206、科学技术支出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2415</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2415</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0</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（二）一般转移支付收入</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16</w:t>
            </w:r>
            <w:r>
              <w:rPr>
                <w:rFonts w:hint="eastAsia" w:ascii="宋体" w:hAnsi="宋体" w:cs="宋体"/>
                <w:kern w:val="0"/>
                <w:sz w:val="18"/>
                <w:szCs w:val="18"/>
              </w:rPr>
              <w:t>4230</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207、文化旅游体育与传媒支出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4937</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4877</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60</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（三）专项转移支付收入</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20076</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208、社会保障和就业支出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41285</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35803</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5482</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　</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210、卫生健康</w:t>
            </w:r>
            <w:r>
              <w:rPr>
                <w:rFonts w:ascii="宋体" w:hAnsi="宋体" w:cs="宋体"/>
                <w:kern w:val="0"/>
                <w:sz w:val="18"/>
                <w:szCs w:val="18"/>
              </w:rPr>
              <w:t>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46560</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46482</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78</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bCs/>
                <w:kern w:val="0"/>
                <w:sz w:val="18"/>
                <w:szCs w:val="18"/>
              </w:rPr>
            </w:pPr>
            <w:r>
              <w:rPr>
                <w:rFonts w:hint="eastAsia" w:ascii="宋体" w:hAnsi="宋体" w:cs="宋体"/>
                <w:bCs/>
                <w:kern w:val="0"/>
                <w:sz w:val="18"/>
                <w:szCs w:val="18"/>
              </w:rPr>
              <w:t>三、上年结转</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17329</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211、节能环保支出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2140</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2140</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0</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　</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212、城乡社区支出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7242</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6563</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679</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bCs/>
                <w:kern w:val="0"/>
                <w:sz w:val="18"/>
                <w:szCs w:val="18"/>
              </w:rPr>
            </w:pPr>
            <w:r>
              <w:rPr>
                <w:rFonts w:hint="eastAsia" w:ascii="宋体" w:hAnsi="宋体" w:cs="宋体"/>
                <w:bCs/>
                <w:kern w:val="0"/>
                <w:sz w:val="18"/>
                <w:szCs w:val="18"/>
              </w:rPr>
              <w:t>四、调入预算稳定调节基金</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7846</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213、农林水支出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448</w:t>
            </w:r>
            <w:r>
              <w:rPr>
                <w:rFonts w:hint="eastAsia" w:ascii="宋体" w:hAnsi="宋体" w:cs="宋体"/>
                <w:bCs/>
                <w:kern w:val="0"/>
                <w:sz w:val="18"/>
                <w:szCs w:val="18"/>
              </w:rPr>
              <w:t>90</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359</w:t>
            </w:r>
            <w:r>
              <w:rPr>
                <w:rFonts w:hint="eastAsia" w:ascii="宋体" w:hAnsi="宋体" w:cs="宋体"/>
                <w:kern w:val="0"/>
                <w:sz w:val="18"/>
                <w:szCs w:val="18"/>
              </w:rPr>
              <w:t>76</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8914</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bCs/>
                <w:kern w:val="0"/>
                <w:sz w:val="18"/>
                <w:szCs w:val="18"/>
              </w:rPr>
            </w:pPr>
            <w:r>
              <w:rPr>
                <w:rFonts w:hint="eastAsia" w:ascii="宋体" w:hAnsi="宋体" w:cs="宋体"/>
                <w:bCs/>
                <w:kern w:val="0"/>
                <w:sz w:val="18"/>
                <w:szCs w:val="18"/>
              </w:rPr>
              <w:t>五、调入其他</w:t>
            </w:r>
            <w:r>
              <w:rPr>
                <w:rFonts w:ascii="宋体" w:hAnsi="宋体" w:cs="宋体"/>
                <w:bCs/>
                <w:kern w:val="0"/>
                <w:sz w:val="18"/>
                <w:szCs w:val="18"/>
              </w:rPr>
              <w:t>资金</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2</w:t>
            </w:r>
            <w:r>
              <w:rPr>
                <w:rFonts w:hint="eastAsia" w:ascii="宋体" w:hAnsi="宋体" w:cs="宋体"/>
                <w:bCs/>
                <w:kern w:val="0"/>
                <w:sz w:val="18"/>
                <w:szCs w:val="18"/>
              </w:rPr>
              <w:t>47</w:t>
            </w:r>
            <w:r>
              <w:rPr>
                <w:rFonts w:ascii="宋体" w:hAnsi="宋体" w:cs="宋体"/>
                <w:bCs/>
                <w:kern w:val="0"/>
                <w:sz w:val="18"/>
                <w:szCs w:val="18"/>
              </w:rPr>
              <w:t>31</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214、交通运输支出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hint="eastAsia" w:ascii="宋体" w:hAnsi="宋体" w:cs="宋体"/>
                <w:bCs/>
                <w:kern w:val="0"/>
                <w:sz w:val="18"/>
                <w:szCs w:val="18"/>
              </w:rPr>
              <w:t>16136</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15600</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536</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bCs/>
                <w:kern w:val="0"/>
                <w:sz w:val="18"/>
                <w:szCs w:val="18"/>
              </w:rPr>
            </w:pPr>
            <w:r>
              <w:rPr>
                <w:rFonts w:hint="eastAsia" w:ascii="宋体" w:hAnsi="宋体" w:cs="宋体"/>
                <w:bCs/>
                <w:kern w:val="0"/>
                <w:sz w:val="18"/>
                <w:szCs w:val="18"/>
              </w:rPr>
              <w:t>六、债券转贷收入</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11481</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215、资源勘探工业信息等支出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1396</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896</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500</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bCs/>
                <w:kern w:val="0"/>
                <w:sz w:val="18"/>
                <w:szCs w:val="18"/>
              </w:rPr>
            </w:pP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216、商业服务业等支出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193</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193</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0</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　</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220、自然资源</w:t>
            </w:r>
            <w:r>
              <w:rPr>
                <w:rFonts w:ascii="宋体" w:hAnsi="宋体" w:cs="宋体"/>
                <w:kern w:val="0"/>
                <w:sz w:val="18"/>
                <w:szCs w:val="18"/>
              </w:rPr>
              <w:t>海洋气象等支出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2944</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2944</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0</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221、住房保障支出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4864</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4864</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0</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222、粮油物资储备支出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596</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596</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0</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w:t>
            </w:r>
            <w:r>
              <w:rPr>
                <w:rFonts w:ascii="宋体" w:hAnsi="宋体" w:cs="宋体"/>
                <w:kern w:val="0"/>
                <w:sz w:val="18"/>
                <w:szCs w:val="18"/>
              </w:rPr>
              <w:t>24、灾害防治及应急管理</w:t>
            </w:r>
            <w:r>
              <w:rPr>
                <w:rFonts w:hint="eastAsia" w:ascii="宋体" w:hAnsi="宋体" w:cs="宋体"/>
                <w:kern w:val="0"/>
                <w:sz w:val="18"/>
                <w:szCs w:val="18"/>
              </w:rPr>
              <w:t>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2407</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2352</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55</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227、预备费</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3360</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3000</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360</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w:t>
            </w:r>
            <w:r>
              <w:rPr>
                <w:rFonts w:ascii="宋体" w:hAnsi="宋体" w:cs="宋体"/>
                <w:kern w:val="0"/>
                <w:sz w:val="18"/>
                <w:szCs w:val="18"/>
              </w:rPr>
              <w:t>29</w:t>
            </w:r>
            <w:r>
              <w:rPr>
                <w:rFonts w:hint="eastAsia" w:ascii="宋体" w:hAnsi="宋体" w:cs="宋体"/>
                <w:kern w:val="0"/>
                <w:sz w:val="18"/>
                <w:szCs w:val="18"/>
              </w:rPr>
              <w:t>、其他</w:t>
            </w:r>
            <w:r>
              <w:rPr>
                <w:rFonts w:ascii="宋体" w:hAnsi="宋体" w:cs="宋体"/>
                <w:kern w:val="0"/>
                <w:sz w:val="18"/>
                <w:szCs w:val="18"/>
              </w:rPr>
              <w:t>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hint="eastAsia" w:ascii="宋体" w:hAnsi="宋体" w:cs="宋体"/>
                <w:bCs/>
                <w:kern w:val="0"/>
                <w:sz w:val="18"/>
                <w:szCs w:val="18"/>
              </w:rPr>
              <w:t>0</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0</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0</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232、债务付息支出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7000</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7000</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0</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bCs/>
                <w:kern w:val="0"/>
                <w:sz w:val="18"/>
                <w:szCs w:val="18"/>
              </w:rPr>
            </w:pPr>
            <w:r>
              <w:rPr>
                <w:rFonts w:hint="eastAsia" w:ascii="宋体" w:hAnsi="宋体" w:cs="宋体"/>
                <w:bCs/>
                <w:kern w:val="0"/>
                <w:sz w:val="18"/>
                <w:szCs w:val="18"/>
              </w:rPr>
              <w:t>二、债务还本支出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11481</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11481</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0</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bCs/>
                <w:kern w:val="0"/>
                <w:sz w:val="18"/>
                <w:szCs w:val="18"/>
              </w:rPr>
            </w:pPr>
            <w:r>
              <w:rPr>
                <w:rFonts w:hint="eastAsia" w:ascii="宋体" w:hAnsi="宋体" w:cs="宋体"/>
                <w:bCs/>
                <w:kern w:val="0"/>
                <w:sz w:val="18"/>
                <w:szCs w:val="18"/>
              </w:rPr>
              <w:t>三、上解支出</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10964</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10964</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hint="eastAsia" w:ascii="宋体" w:hAnsi="宋体" w:cs="宋体"/>
                <w:kern w:val="0"/>
                <w:sz w:val="18"/>
                <w:szCs w:val="18"/>
              </w:rPr>
              <w:t>0</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r>
              <w:rPr>
                <w:rFonts w:hint="eastAsia" w:ascii="宋体" w:hAnsi="宋体" w:cs="宋体"/>
                <w:kern w:val="0"/>
                <w:sz w:val="18"/>
                <w:szCs w:val="18"/>
              </w:rPr>
              <w:t>　</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kern w:val="0"/>
                <w:sz w:val="18"/>
                <w:szCs w:val="18"/>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hint="eastAsia" w:ascii="宋体" w:hAnsi="宋体" w:cs="宋体"/>
                <w:bCs/>
                <w:kern w:val="0"/>
                <w:sz w:val="18"/>
                <w:szCs w:val="18"/>
              </w:rPr>
              <w:t>收入合计</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3</w:t>
            </w:r>
            <w:r>
              <w:rPr>
                <w:rFonts w:hint="eastAsia" w:ascii="宋体" w:hAnsi="宋体" w:cs="宋体"/>
                <w:bCs/>
                <w:kern w:val="0"/>
                <w:sz w:val="18"/>
                <w:szCs w:val="18"/>
              </w:rPr>
              <w:t>16164</w:t>
            </w:r>
          </w:p>
        </w:tc>
        <w:tc>
          <w:tcPr>
            <w:tcW w:w="2615" w:type="dxa"/>
            <w:tcBorders>
              <w:top w:val="nil"/>
              <w:left w:val="nil"/>
              <w:bottom w:val="single" w:color="auto" w:sz="4" w:space="0"/>
              <w:right w:val="single" w:color="auto" w:sz="4" w:space="0"/>
            </w:tcBorders>
            <w:shd w:val="clear" w:color="auto" w:fill="auto"/>
            <w:noWrap/>
            <w:vAlign w:val="center"/>
          </w:tcPr>
          <w:p>
            <w:pPr>
              <w:widowControl/>
              <w:spacing w:line="220" w:lineRule="exact"/>
              <w:jc w:val="left"/>
              <w:rPr>
                <w:rFonts w:ascii="宋体" w:hAnsi="宋体" w:cs="宋体"/>
                <w:bCs/>
                <w:kern w:val="0"/>
                <w:sz w:val="18"/>
                <w:szCs w:val="18"/>
              </w:rPr>
            </w:pPr>
            <w:r>
              <w:rPr>
                <w:rFonts w:hint="eastAsia" w:ascii="宋体" w:hAnsi="宋体" w:cs="宋体"/>
                <w:bCs/>
                <w:kern w:val="0"/>
                <w:sz w:val="18"/>
                <w:szCs w:val="18"/>
              </w:rPr>
              <w:t>支出合计</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bCs/>
                <w:kern w:val="0"/>
                <w:sz w:val="18"/>
                <w:szCs w:val="18"/>
              </w:rPr>
            </w:pPr>
            <w:r>
              <w:rPr>
                <w:rFonts w:ascii="宋体" w:hAnsi="宋体" w:cs="宋体"/>
                <w:bCs/>
                <w:kern w:val="0"/>
                <w:sz w:val="18"/>
                <w:szCs w:val="18"/>
              </w:rPr>
              <w:t>31</w:t>
            </w:r>
            <w:r>
              <w:rPr>
                <w:rFonts w:hint="eastAsia" w:ascii="宋体" w:hAnsi="宋体" w:cs="宋体"/>
                <w:bCs/>
                <w:kern w:val="0"/>
                <w:sz w:val="18"/>
                <w:szCs w:val="18"/>
              </w:rPr>
              <w:t>6164</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220" w:lineRule="exact"/>
              <w:ind w:firstLine="180" w:firstLineChars="100"/>
              <w:jc w:val="left"/>
              <w:rPr>
                <w:rFonts w:ascii="宋体" w:hAnsi="宋体" w:cs="宋体"/>
                <w:kern w:val="0"/>
                <w:sz w:val="18"/>
                <w:szCs w:val="18"/>
              </w:rPr>
            </w:pPr>
            <w:r>
              <w:rPr>
                <w:rFonts w:ascii="宋体" w:hAnsi="宋体" w:cs="宋体"/>
                <w:kern w:val="0"/>
                <w:sz w:val="18"/>
                <w:szCs w:val="18"/>
              </w:rPr>
              <w:t>2865</w:t>
            </w:r>
            <w:r>
              <w:rPr>
                <w:rFonts w:hint="eastAsia" w:ascii="宋体" w:hAnsi="宋体" w:cs="宋体"/>
                <w:kern w:val="0"/>
                <w:sz w:val="18"/>
                <w:szCs w:val="18"/>
              </w:rPr>
              <w:t>75</w:t>
            </w:r>
          </w:p>
        </w:tc>
        <w:tc>
          <w:tcPr>
            <w:tcW w:w="900" w:type="dxa"/>
            <w:tcBorders>
              <w:top w:val="nil"/>
              <w:left w:val="nil"/>
              <w:bottom w:val="single" w:color="auto" w:sz="4" w:space="0"/>
              <w:right w:val="single" w:color="auto" w:sz="4" w:space="0"/>
            </w:tcBorders>
            <w:shd w:val="clear" w:color="auto" w:fill="auto"/>
            <w:noWrap/>
            <w:vAlign w:val="center"/>
          </w:tcPr>
          <w:p>
            <w:pPr>
              <w:widowControl/>
              <w:spacing w:line="220" w:lineRule="exact"/>
              <w:jc w:val="center"/>
              <w:rPr>
                <w:rFonts w:ascii="宋体" w:hAnsi="宋体" w:cs="宋体"/>
                <w:kern w:val="0"/>
                <w:sz w:val="18"/>
                <w:szCs w:val="18"/>
              </w:rPr>
            </w:pPr>
            <w:r>
              <w:rPr>
                <w:rFonts w:ascii="宋体" w:hAnsi="宋体" w:cs="宋体"/>
                <w:kern w:val="0"/>
                <w:sz w:val="18"/>
                <w:szCs w:val="18"/>
              </w:rPr>
              <w:t>29</w:t>
            </w:r>
            <w:r>
              <w:rPr>
                <w:rFonts w:hint="eastAsia" w:ascii="宋体" w:hAnsi="宋体" w:cs="宋体"/>
                <w:kern w:val="0"/>
                <w:sz w:val="18"/>
                <w:szCs w:val="18"/>
              </w:rPr>
              <w:t>589</w:t>
            </w:r>
          </w:p>
        </w:tc>
      </w:tr>
    </w:tbl>
    <w:p>
      <w:pPr>
        <w:rPr>
          <w:rFonts w:ascii="黑体" w:hAnsi="黑体" w:eastAsia="黑体" w:cs="宋体"/>
          <w:color w:val="000000"/>
          <w:kern w:val="0"/>
          <w:sz w:val="32"/>
          <w:szCs w:val="32"/>
        </w:rPr>
      </w:pPr>
      <w:r>
        <w:rPr>
          <w:rFonts w:hint="eastAsia" w:ascii="黑体" w:hAnsi="黑体" w:eastAsia="黑体" w:cs="宋体"/>
          <w:color w:val="000000"/>
          <w:kern w:val="0"/>
          <w:sz w:val="32"/>
          <w:szCs w:val="32"/>
        </w:rPr>
        <w:t xml:space="preserve">附件3-02  </w:t>
      </w:r>
    </w:p>
    <w:p>
      <w:pPr>
        <w:spacing w:line="400" w:lineRule="exact"/>
        <w:jc w:val="center"/>
        <w:rPr>
          <w:rFonts w:ascii="方正小标宋简体" w:hAnsi="宋体" w:eastAsia="方正小标宋简体" w:cs="宋体"/>
          <w:color w:val="000000"/>
          <w:sz w:val="36"/>
          <w:szCs w:val="36"/>
        </w:rPr>
      </w:pPr>
      <w:r>
        <w:rPr>
          <w:rFonts w:hint="eastAsia" w:ascii="方正小标宋简体" w:eastAsia="方正小标宋简体"/>
          <w:color w:val="000000"/>
          <w:sz w:val="36"/>
          <w:szCs w:val="36"/>
        </w:rPr>
        <w:t>2021年政府性基金预算（草案）计划表</w:t>
      </w:r>
    </w:p>
    <w:p>
      <w:pPr>
        <w:spacing w:line="300" w:lineRule="exact"/>
        <w:rPr>
          <w:rFonts w:ascii="宋体" w:hAnsi="宋体" w:cs="宋体"/>
          <w:color w:val="000000"/>
          <w:sz w:val="24"/>
        </w:rPr>
      </w:pPr>
      <w:r>
        <w:rPr>
          <w:rFonts w:hint="eastAsia" w:ascii="仿宋_GB2312" w:hAnsi="宋体" w:eastAsia="仿宋_GB2312" w:cs="宋体"/>
          <w:color w:val="000000"/>
          <w:kern w:val="0"/>
          <w:sz w:val="32"/>
          <w:szCs w:val="32"/>
        </w:rPr>
        <w:t xml:space="preserve">                                                 </w:t>
      </w:r>
      <w:r>
        <w:rPr>
          <w:rFonts w:hint="eastAsia"/>
          <w:color w:val="000000"/>
        </w:rPr>
        <w:t>单位：万元</w:t>
      </w:r>
    </w:p>
    <w:tbl>
      <w:tblPr>
        <w:tblStyle w:val="7"/>
        <w:tblW w:w="9375" w:type="dxa"/>
        <w:tblInd w:w="93" w:type="dxa"/>
        <w:tblLayout w:type="autofit"/>
        <w:tblCellMar>
          <w:top w:w="0" w:type="dxa"/>
          <w:left w:w="108" w:type="dxa"/>
          <w:bottom w:w="0" w:type="dxa"/>
          <w:right w:w="108" w:type="dxa"/>
        </w:tblCellMar>
      </w:tblPr>
      <w:tblGrid>
        <w:gridCol w:w="3240"/>
        <w:gridCol w:w="1420"/>
        <w:gridCol w:w="3275"/>
        <w:gridCol w:w="1440"/>
      </w:tblGrid>
      <w:tr>
        <w:tblPrEx>
          <w:tblCellMar>
            <w:top w:w="0" w:type="dxa"/>
            <w:left w:w="108" w:type="dxa"/>
            <w:bottom w:w="0" w:type="dxa"/>
            <w:right w:w="108" w:type="dxa"/>
          </w:tblCellMar>
        </w:tblPrEx>
        <w:trPr>
          <w:trHeight w:val="447" w:hRule="atLeast"/>
        </w:trPr>
        <w:tc>
          <w:tcPr>
            <w:tcW w:w="466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宋体" w:hAnsi="宋体" w:cs="宋体"/>
                <w:b/>
                <w:bCs/>
                <w:color w:val="000000"/>
                <w:kern w:val="0"/>
                <w:sz w:val="28"/>
                <w:szCs w:val="28"/>
              </w:rPr>
            </w:pPr>
            <w:r>
              <w:rPr>
                <w:rFonts w:hint="eastAsia" w:ascii="宋体" w:hAnsi="宋体" w:cs="宋体"/>
                <w:b/>
                <w:bCs/>
                <w:color w:val="000000"/>
                <w:kern w:val="0"/>
                <w:sz w:val="28"/>
                <w:szCs w:val="28"/>
              </w:rPr>
              <w:t>收 入 预 算</w:t>
            </w:r>
          </w:p>
        </w:tc>
        <w:tc>
          <w:tcPr>
            <w:tcW w:w="471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ascii="宋体" w:hAnsi="宋体" w:cs="宋体"/>
                <w:b/>
                <w:bCs/>
                <w:color w:val="000000"/>
                <w:kern w:val="0"/>
                <w:sz w:val="28"/>
                <w:szCs w:val="28"/>
              </w:rPr>
            </w:pPr>
            <w:r>
              <w:rPr>
                <w:rFonts w:hint="eastAsia" w:ascii="宋体" w:hAnsi="宋体" w:cs="宋体"/>
                <w:b/>
                <w:bCs/>
                <w:color w:val="000000"/>
                <w:kern w:val="0"/>
                <w:sz w:val="28"/>
                <w:szCs w:val="28"/>
              </w:rPr>
              <w:t>支 出 预 算</w:t>
            </w:r>
          </w:p>
        </w:tc>
      </w:tr>
      <w:tr>
        <w:tblPrEx>
          <w:tblCellMar>
            <w:top w:w="0" w:type="dxa"/>
            <w:left w:w="108" w:type="dxa"/>
            <w:bottom w:w="0" w:type="dxa"/>
            <w:right w:w="108" w:type="dxa"/>
          </w:tblCellMar>
        </w:tblPrEx>
        <w:trPr>
          <w:trHeight w:val="427" w:hRule="atLeast"/>
        </w:trPr>
        <w:tc>
          <w:tcPr>
            <w:tcW w:w="32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Cs/>
                <w:color w:val="000000"/>
                <w:kern w:val="0"/>
                <w:sz w:val="18"/>
                <w:szCs w:val="18"/>
              </w:rPr>
            </w:pPr>
            <w:r>
              <w:rPr>
                <w:rFonts w:hint="eastAsia" w:ascii="宋体" w:hAnsi="宋体" w:cs="宋体"/>
                <w:bCs/>
                <w:color w:val="000000"/>
                <w:kern w:val="0"/>
                <w:sz w:val="18"/>
                <w:szCs w:val="18"/>
              </w:rPr>
              <w:t>项    目</w:t>
            </w:r>
          </w:p>
        </w:tc>
        <w:tc>
          <w:tcPr>
            <w:tcW w:w="142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bCs/>
                <w:color w:val="000000"/>
                <w:kern w:val="0"/>
                <w:sz w:val="18"/>
                <w:szCs w:val="18"/>
              </w:rPr>
            </w:pPr>
            <w:r>
              <w:rPr>
                <w:rFonts w:hint="eastAsia" w:ascii="宋体" w:hAnsi="宋体" w:cs="宋体"/>
                <w:bCs/>
                <w:color w:val="000000"/>
                <w:kern w:val="0"/>
                <w:sz w:val="18"/>
                <w:szCs w:val="18"/>
              </w:rPr>
              <w:t>金    额</w:t>
            </w:r>
          </w:p>
        </w:tc>
        <w:tc>
          <w:tcPr>
            <w:tcW w:w="3275"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bCs/>
                <w:color w:val="000000"/>
                <w:kern w:val="0"/>
                <w:sz w:val="18"/>
                <w:szCs w:val="18"/>
              </w:rPr>
            </w:pPr>
            <w:r>
              <w:rPr>
                <w:rFonts w:hint="eastAsia" w:ascii="宋体" w:hAnsi="宋体" w:cs="宋体"/>
                <w:bCs/>
                <w:color w:val="000000"/>
                <w:kern w:val="0"/>
                <w:sz w:val="18"/>
                <w:szCs w:val="18"/>
              </w:rPr>
              <w:t>项    目</w:t>
            </w:r>
          </w:p>
        </w:tc>
        <w:tc>
          <w:tcPr>
            <w:tcW w:w="14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bCs/>
                <w:color w:val="000000"/>
                <w:kern w:val="0"/>
                <w:sz w:val="18"/>
                <w:szCs w:val="18"/>
              </w:rPr>
            </w:pPr>
            <w:r>
              <w:rPr>
                <w:rFonts w:hint="eastAsia" w:ascii="宋体" w:hAnsi="宋体" w:cs="宋体"/>
                <w:bCs/>
                <w:color w:val="000000"/>
                <w:kern w:val="0"/>
                <w:sz w:val="18"/>
                <w:szCs w:val="18"/>
              </w:rPr>
              <w:t>金    额</w:t>
            </w:r>
          </w:p>
        </w:tc>
      </w:tr>
      <w:tr>
        <w:tblPrEx>
          <w:tblCellMar>
            <w:top w:w="0" w:type="dxa"/>
            <w:left w:w="108" w:type="dxa"/>
            <w:bottom w:w="0" w:type="dxa"/>
            <w:right w:w="108" w:type="dxa"/>
          </w:tblCellMar>
        </w:tblPrEx>
        <w:trPr>
          <w:trHeight w:val="499" w:hRule="atLeast"/>
        </w:trPr>
        <w:tc>
          <w:tcPr>
            <w:tcW w:w="3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heme="minorEastAsia" w:hAnsiTheme="minorEastAsia" w:eastAsiaTheme="minorEastAsia"/>
                <w:color w:val="000000"/>
                <w:kern w:val="0"/>
                <w:sz w:val="18"/>
                <w:szCs w:val="18"/>
              </w:rPr>
            </w:pPr>
            <w:r>
              <w:rPr>
                <w:rFonts w:hint="eastAsia" w:asciiTheme="minorEastAsia" w:hAnsiTheme="minorEastAsia" w:eastAsiaTheme="minorEastAsia"/>
                <w:color w:val="000000"/>
                <w:sz w:val="18"/>
                <w:szCs w:val="18"/>
              </w:rPr>
              <w:t>一、本级收入</w:t>
            </w:r>
          </w:p>
        </w:tc>
        <w:tc>
          <w:tcPr>
            <w:tcW w:w="142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29900</w:t>
            </w:r>
          </w:p>
        </w:tc>
        <w:tc>
          <w:tcPr>
            <w:tcW w:w="32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heme="minorEastAsia" w:hAnsiTheme="minorEastAsia" w:eastAsiaTheme="minorEastAsia"/>
                <w:color w:val="000000"/>
                <w:kern w:val="0"/>
                <w:sz w:val="18"/>
                <w:szCs w:val="18"/>
              </w:rPr>
            </w:pPr>
            <w:r>
              <w:rPr>
                <w:rFonts w:hint="eastAsia" w:asciiTheme="minorEastAsia" w:hAnsiTheme="minorEastAsia" w:eastAsiaTheme="minorEastAsia"/>
                <w:color w:val="000000"/>
                <w:sz w:val="18"/>
                <w:szCs w:val="18"/>
              </w:rPr>
              <w:t>一、政府性基金支出</w:t>
            </w:r>
          </w:p>
        </w:tc>
        <w:tc>
          <w:tcPr>
            <w:tcW w:w="144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91721</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xml:space="preserve">  国有土地收益基金收入</w:t>
            </w:r>
          </w:p>
        </w:tc>
        <w:tc>
          <w:tcPr>
            <w:tcW w:w="142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1400</w:t>
            </w:r>
          </w:p>
        </w:tc>
        <w:tc>
          <w:tcPr>
            <w:tcW w:w="3275"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208、社会保障和就业支出</w:t>
            </w:r>
          </w:p>
        </w:tc>
        <w:tc>
          <w:tcPr>
            <w:tcW w:w="144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5656</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xml:space="preserve">  国有土地使用权出让收入</w:t>
            </w:r>
          </w:p>
        </w:tc>
        <w:tc>
          <w:tcPr>
            <w:tcW w:w="142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24100</w:t>
            </w:r>
          </w:p>
        </w:tc>
        <w:tc>
          <w:tcPr>
            <w:tcW w:w="3275"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xml:space="preserve">  大中型水库移民后期扶持基金支出</w:t>
            </w:r>
          </w:p>
        </w:tc>
        <w:tc>
          <w:tcPr>
            <w:tcW w:w="144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5656</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xml:space="preserve">  城市基础设施配套费收入</w:t>
            </w:r>
          </w:p>
        </w:tc>
        <w:tc>
          <w:tcPr>
            <w:tcW w:w="142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700</w:t>
            </w:r>
          </w:p>
        </w:tc>
        <w:tc>
          <w:tcPr>
            <w:tcW w:w="3275"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212、城乡社区支出</w:t>
            </w:r>
          </w:p>
        </w:tc>
        <w:tc>
          <w:tcPr>
            <w:tcW w:w="144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42502</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xml:space="preserve">  污水处理费</w:t>
            </w:r>
          </w:p>
        </w:tc>
        <w:tc>
          <w:tcPr>
            <w:tcW w:w="142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700</w:t>
            </w:r>
          </w:p>
        </w:tc>
        <w:tc>
          <w:tcPr>
            <w:tcW w:w="3275"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xml:space="preserve">  国有土地使用权出让收入</w:t>
            </w:r>
            <w:r>
              <w:rPr>
                <w:rFonts w:asciiTheme="minorEastAsia" w:hAnsiTheme="minorEastAsia" w:eastAsiaTheme="minorEastAsia"/>
                <w:color w:val="000000"/>
                <w:sz w:val="18"/>
                <w:szCs w:val="18"/>
              </w:rPr>
              <w:t>安排的</w:t>
            </w:r>
            <w:r>
              <w:rPr>
                <w:rFonts w:hint="eastAsia" w:asciiTheme="minorEastAsia" w:hAnsiTheme="minorEastAsia" w:eastAsiaTheme="minorEastAsia"/>
                <w:color w:val="000000"/>
                <w:sz w:val="18"/>
                <w:szCs w:val="18"/>
              </w:rPr>
              <w:t>支出</w:t>
            </w:r>
          </w:p>
        </w:tc>
        <w:tc>
          <w:tcPr>
            <w:tcW w:w="144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38196</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xml:space="preserve">  车辆通行费</w:t>
            </w:r>
          </w:p>
        </w:tc>
        <w:tc>
          <w:tcPr>
            <w:tcW w:w="142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1000</w:t>
            </w:r>
          </w:p>
        </w:tc>
        <w:tc>
          <w:tcPr>
            <w:tcW w:w="3275"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xml:space="preserve">  国有土地收益基金安排</w:t>
            </w:r>
            <w:r>
              <w:rPr>
                <w:rFonts w:asciiTheme="minorEastAsia" w:hAnsiTheme="minorEastAsia" w:eastAsiaTheme="minorEastAsia"/>
                <w:color w:val="000000"/>
                <w:sz w:val="18"/>
                <w:szCs w:val="18"/>
              </w:rPr>
              <w:t>的</w:t>
            </w:r>
            <w:r>
              <w:rPr>
                <w:rFonts w:hint="eastAsia" w:asciiTheme="minorEastAsia" w:hAnsiTheme="minorEastAsia" w:eastAsiaTheme="minorEastAsia"/>
                <w:color w:val="000000"/>
                <w:sz w:val="18"/>
                <w:szCs w:val="18"/>
              </w:rPr>
              <w:t>支出</w:t>
            </w:r>
          </w:p>
        </w:tc>
        <w:tc>
          <w:tcPr>
            <w:tcW w:w="144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2809</w:t>
            </w:r>
          </w:p>
        </w:tc>
      </w:tr>
      <w:tr>
        <w:tblPrEx>
          <w:tblCellMar>
            <w:top w:w="0" w:type="dxa"/>
            <w:left w:w="108" w:type="dxa"/>
            <w:bottom w:w="0" w:type="dxa"/>
            <w:right w:w="108" w:type="dxa"/>
          </w:tblCellMar>
        </w:tblPrEx>
        <w:trPr>
          <w:trHeight w:val="499" w:hRule="atLeast"/>
        </w:trPr>
        <w:tc>
          <w:tcPr>
            <w:tcW w:w="32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color w:val="000000"/>
                <w:kern w:val="0"/>
                <w:sz w:val="18"/>
                <w:szCs w:val="18"/>
              </w:rPr>
            </w:pPr>
            <w:r>
              <w:rPr>
                <w:rFonts w:hint="eastAsia" w:asciiTheme="minorEastAsia" w:hAnsiTheme="minorEastAsia" w:eastAsiaTheme="minorEastAsia"/>
                <w:color w:val="000000"/>
                <w:kern w:val="0"/>
                <w:sz w:val="18"/>
                <w:szCs w:val="18"/>
              </w:rPr>
              <w:t xml:space="preserve">  专项</w:t>
            </w:r>
            <w:r>
              <w:rPr>
                <w:rFonts w:asciiTheme="minorEastAsia" w:hAnsiTheme="minorEastAsia" w:eastAsiaTheme="minorEastAsia"/>
                <w:color w:val="000000"/>
                <w:kern w:val="0"/>
                <w:sz w:val="18"/>
                <w:szCs w:val="18"/>
              </w:rPr>
              <w:t>债务对应</w:t>
            </w:r>
            <w:r>
              <w:rPr>
                <w:rFonts w:hint="eastAsia" w:asciiTheme="minorEastAsia" w:hAnsiTheme="minorEastAsia" w:eastAsiaTheme="minorEastAsia"/>
                <w:color w:val="000000"/>
                <w:kern w:val="0"/>
                <w:sz w:val="18"/>
                <w:szCs w:val="18"/>
              </w:rPr>
              <w:t>项目</w:t>
            </w:r>
            <w:r>
              <w:rPr>
                <w:rFonts w:asciiTheme="minorEastAsia" w:hAnsiTheme="minorEastAsia" w:eastAsiaTheme="minorEastAsia"/>
                <w:color w:val="000000"/>
                <w:kern w:val="0"/>
                <w:sz w:val="18"/>
                <w:szCs w:val="18"/>
              </w:rPr>
              <w:t>专项收入</w:t>
            </w:r>
          </w:p>
        </w:tc>
        <w:tc>
          <w:tcPr>
            <w:tcW w:w="142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2000</w:t>
            </w:r>
          </w:p>
        </w:tc>
        <w:tc>
          <w:tcPr>
            <w:tcW w:w="3275"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xml:space="preserve">  城市基础设施配套费安排</w:t>
            </w:r>
            <w:r>
              <w:rPr>
                <w:rFonts w:asciiTheme="minorEastAsia" w:hAnsiTheme="minorEastAsia" w:eastAsiaTheme="minorEastAsia"/>
                <w:color w:val="000000"/>
                <w:sz w:val="18"/>
                <w:szCs w:val="18"/>
              </w:rPr>
              <w:t>的</w:t>
            </w:r>
            <w:r>
              <w:rPr>
                <w:rFonts w:hint="eastAsia" w:asciiTheme="minorEastAsia" w:hAnsiTheme="minorEastAsia" w:eastAsiaTheme="minorEastAsia"/>
                <w:color w:val="000000"/>
                <w:sz w:val="18"/>
                <w:szCs w:val="18"/>
              </w:rPr>
              <w:t>支出</w:t>
            </w:r>
          </w:p>
        </w:tc>
        <w:tc>
          <w:tcPr>
            <w:tcW w:w="144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700</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cs="宋体" w:asciiTheme="minorEastAsia" w:hAnsiTheme="minorEastAsia" w:eastAsiaTheme="minorEastAsia"/>
                <w:color w:val="000000"/>
                <w:kern w:val="0"/>
                <w:sz w:val="18"/>
                <w:szCs w:val="18"/>
              </w:rPr>
            </w:pPr>
          </w:p>
        </w:tc>
        <w:tc>
          <w:tcPr>
            <w:tcW w:w="3275"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xml:space="preserve">  污水处理费安排的支出</w:t>
            </w:r>
          </w:p>
        </w:tc>
        <w:tc>
          <w:tcPr>
            <w:tcW w:w="144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797</w:t>
            </w:r>
          </w:p>
        </w:tc>
      </w:tr>
      <w:tr>
        <w:tblPrEx>
          <w:tblCellMar>
            <w:top w:w="0" w:type="dxa"/>
            <w:left w:w="108" w:type="dxa"/>
            <w:bottom w:w="0" w:type="dxa"/>
            <w:right w:w="108" w:type="dxa"/>
          </w:tblCellMar>
        </w:tblPrEx>
        <w:trPr>
          <w:trHeight w:val="499" w:hRule="atLeast"/>
        </w:trPr>
        <w:tc>
          <w:tcPr>
            <w:tcW w:w="3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heme="minorEastAsia" w:hAnsiTheme="minorEastAsia" w:eastAsiaTheme="minorEastAsia"/>
                <w:color w:val="000000"/>
                <w:kern w:val="0"/>
                <w:sz w:val="18"/>
                <w:szCs w:val="18"/>
              </w:rPr>
            </w:pPr>
            <w:r>
              <w:rPr>
                <w:rFonts w:hint="eastAsia" w:asciiTheme="minorEastAsia" w:hAnsiTheme="minorEastAsia" w:eastAsiaTheme="minorEastAsia"/>
                <w:color w:val="000000"/>
                <w:sz w:val="18"/>
                <w:szCs w:val="18"/>
              </w:rPr>
              <w:t>二、转移性收入</w:t>
            </w:r>
          </w:p>
        </w:tc>
        <w:tc>
          <w:tcPr>
            <w:tcW w:w="142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80371</w:t>
            </w:r>
          </w:p>
        </w:tc>
        <w:tc>
          <w:tcPr>
            <w:tcW w:w="3275"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213、农林水支出</w:t>
            </w:r>
          </w:p>
        </w:tc>
        <w:tc>
          <w:tcPr>
            <w:tcW w:w="144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34025</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xml:space="preserve"> （一）上年结转结余</w:t>
            </w:r>
          </w:p>
        </w:tc>
        <w:tc>
          <w:tcPr>
            <w:tcW w:w="142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25211</w:t>
            </w:r>
          </w:p>
        </w:tc>
        <w:tc>
          <w:tcPr>
            <w:tcW w:w="3275"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xml:space="preserve">  三峡水库</w:t>
            </w:r>
            <w:r>
              <w:rPr>
                <w:rFonts w:asciiTheme="minorEastAsia" w:hAnsiTheme="minorEastAsia" w:eastAsiaTheme="minorEastAsia"/>
                <w:color w:val="000000"/>
                <w:sz w:val="18"/>
                <w:szCs w:val="18"/>
              </w:rPr>
              <w:t>库区基金支出</w:t>
            </w:r>
          </w:p>
        </w:tc>
        <w:tc>
          <w:tcPr>
            <w:tcW w:w="144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3097</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xml:space="preserve"> （二）专项转移支付收入</w:t>
            </w:r>
          </w:p>
        </w:tc>
        <w:tc>
          <w:tcPr>
            <w:tcW w:w="142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41110</w:t>
            </w:r>
          </w:p>
        </w:tc>
        <w:tc>
          <w:tcPr>
            <w:tcW w:w="3275"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xml:space="preserve">  国家重大水利工程建设基金安排</w:t>
            </w:r>
            <w:r>
              <w:rPr>
                <w:rFonts w:asciiTheme="minorEastAsia" w:hAnsiTheme="minorEastAsia" w:eastAsiaTheme="minorEastAsia"/>
                <w:color w:val="000000"/>
                <w:sz w:val="18"/>
                <w:szCs w:val="18"/>
              </w:rPr>
              <w:t>的</w:t>
            </w:r>
            <w:r>
              <w:rPr>
                <w:rFonts w:hint="eastAsia" w:asciiTheme="minorEastAsia" w:hAnsiTheme="minorEastAsia" w:eastAsiaTheme="minorEastAsia"/>
                <w:color w:val="000000"/>
                <w:sz w:val="18"/>
                <w:szCs w:val="18"/>
              </w:rPr>
              <w:t>支出</w:t>
            </w:r>
          </w:p>
        </w:tc>
        <w:tc>
          <w:tcPr>
            <w:tcW w:w="144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30928</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xml:space="preserve"> （三）债券转贷收入</w:t>
            </w:r>
          </w:p>
        </w:tc>
        <w:tc>
          <w:tcPr>
            <w:tcW w:w="142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14050</w:t>
            </w:r>
          </w:p>
        </w:tc>
        <w:tc>
          <w:tcPr>
            <w:tcW w:w="3275"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214、交通运输支出</w:t>
            </w:r>
          </w:p>
        </w:tc>
        <w:tc>
          <w:tcPr>
            <w:tcW w:w="144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1109</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cs="宋体" w:asciiTheme="minorEastAsia" w:hAnsiTheme="minorEastAsia" w:eastAsiaTheme="minorEastAsia"/>
                <w:color w:val="000000"/>
                <w:kern w:val="0"/>
                <w:sz w:val="18"/>
                <w:szCs w:val="18"/>
              </w:rPr>
            </w:pPr>
          </w:p>
        </w:tc>
        <w:tc>
          <w:tcPr>
            <w:tcW w:w="3275"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xml:space="preserve">  车辆通行费</w:t>
            </w:r>
            <w:r>
              <w:rPr>
                <w:rFonts w:asciiTheme="minorEastAsia" w:hAnsiTheme="minorEastAsia" w:eastAsiaTheme="minorEastAsia"/>
                <w:color w:val="000000"/>
                <w:sz w:val="18"/>
                <w:szCs w:val="18"/>
              </w:rPr>
              <w:t>安排的支出</w:t>
            </w:r>
          </w:p>
        </w:tc>
        <w:tc>
          <w:tcPr>
            <w:tcW w:w="144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1109</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cs="宋体" w:asciiTheme="minorEastAsia" w:hAnsiTheme="minorEastAsia" w:eastAsiaTheme="minorEastAsia"/>
                <w:color w:val="000000"/>
                <w:kern w:val="0"/>
                <w:sz w:val="18"/>
                <w:szCs w:val="18"/>
              </w:rPr>
            </w:pPr>
          </w:p>
        </w:tc>
        <w:tc>
          <w:tcPr>
            <w:tcW w:w="3275"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229、其它支出</w:t>
            </w:r>
          </w:p>
        </w:tc>
        <w:tc>
          <w:tcPr>
            <w:tcW w:w="144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1429</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cs="宋体" w:asciiTheme="minorEastAsia" w:hAnsiTheme="minorEastAsia" w:eastAsiaTheme="minorEastAsia"/>
                <w:color w:val="000000"/>
                <w:kern w:val="0"/>
                <w:sz w:val="18"/>
                <w:szCs w:val="18"/>
              </w:rPr>
            </w:pPr>
          </w:p>
        </w:tc>
        <w:tc>
          <w:tcPr>
            <w:tcW w:w="3275"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xml:space="preserve">  彩票公益金安排的支出</w:t>
            </w:r>
          </w:p>
        </w:tc>
        <w:tc>
          <w:tcPr>
            <w:tcW w:w="144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1429</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cs="宋体" w:asciiTheme="minorEastAsia" w:hAnsiTheme="minorEastAsia" w:eastAsiaTheme="minorEastAsia"/>
                <w:color w:val="000000"/>
                <w:kern w:val="0"/>
                <w:sz w:val="18"/>
                <w:szCs w:val="18"/>
              </w:rPr>
            </w:pP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cs="宋体" w:asciiTheme="minorEastAsia" w:hAnsiTheme="minorEastAsia" w:eastAsiaTheme="minorEastAsia"/>
                <w:color w:val="000000"/>
                <w:kern w:val="0"/>
                <w:sz w:val="18"/>
                <w:szCs w:val="18"/>
              </w:rPr>
            </w:pPr>
          </w:p>
        </w:tc>
        <w:tc>
          <w:tcPr>
            <w:tcW w:w="3275"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232、债务付息支出</w:t>
            </w:r>
          </w:p>
        </w:tc>
        <w:tc>
          <w:tcPr>
            <w:tcW w:w="144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7000</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cs="宋体" w:asciiTheme="minorEastAsia" w:hAnsiTheme="minorEastAsia" w:eastAsiaTheme="minorEastAsia"/>
                <w:color w:val="000000"/>
                <w:kern w:val="0"/>
                <w:sz w:val="18"/>
                <w:szCs w:val="18"/>
              </w:rPr>
            </w:pP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cs="宋体" w:asciiTheme="minorEastAsia" w:hAnsiTheme="minorEastAsia" w:eastAsiaTheme="minorEastAsia"/>
                <w:color w:val="000000"/>
                <w:kern w:val="0"/>
                <w:sz w:val="18"/>
                <w:szCs w:val="18"/>
              </w:rPr>
            </w:pPr>
          </w:p>
        </w:tc>
        <w:tc>
          <w:tcPr>
            <w:tcW w:w="3275"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地方政府专项债务付息支出</w:t>
            </w:r>
          </w:p>
        </w:tc>
        <w:tc>
          <w:tcPr>
            <w:tcW w:w="144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7000</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cs="宋体" w:asciiTheme="minorEastAsia" w:hAnsiTheme="minorEastAsia" w:eastAsiaTheme="minorEastAsia"/>
                <w:color w:val="000000"/>
                <w:kern w:val="0"/>
                <w:sz w:val="18"/>
                <w:szCs w:val="18"/>
              </w:rPr>
            </w:pPr>
          </w:p>
        </w:tc>
        <w:tc>
          <w:tcPr>
            <w:tcW w:w="3275" w:type="dxa"/>
            <w:tcBorders>
              <w:top w:val="nil"/>
              <w:left w:val="single" w:color="auto" w:sz="4" w:space="0"/>
              <w:bottom w:val="single" w:color="auto" w:sz="4" w:space="0"/>
              <w:right w:val="single" w:color="auto" w:sz="4" w:space="0"/>
            </w:tcBorders>
            <w:shd w:val="clear" w:color="auto" w:fill="auto"/>
            <w:vAlign w:val="center"/>
          </w:tcPr>
          <w:p>
            <w:pPr>
              <w:jc w:val="left"/>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二</w:t>
            </w:r>
            <w:r>
              <w:rPr>
                <w:rFonts w:asciiTheme="minorEastAsia" w:hAnsiTheme="minorEastAsia" w:eastAsiaTheme="minorEastAsia"/>
                <w:color w:val="000000"/>
                <w:sz w:val="18"/>
                <w:szCs w:val="18"/>
              </w:rPr>
              <w:t>、</w:t>
            </w:r>
            <w:r>
              <w:rPr>
                <w:rFonts w:hint="eastAsia" w:asciiTheme="minorEastAsia" w:hAnsiTheme="minorEastAsia" w:eastAsiaTheme="minorEastAsia"/>
                <w:color w:val="000000"/>
                <w:sz w:val="18"/>
                <w:szCs w:val="18"/>
              </w:rPr>
              <w:t>债务</w:t>
            </w:r>
            <w:r>
              <w:rPr>
                <w:rFonts w:asciiTheme="minorEastAsia" w:hAnsiTheme="minorEastAsia" w:eastAsiaTheme="minorEastAsia"/>
                <w:color w:val="000000"/>
                <w:sz w:val="18"/>
                <w:szCs w:val="18"/>
              </w:rPr>
              <w:t>还本支出</w:t>
            </w:r>
          </w:p>
        </w:tc>
        <w:tc>
          <w:tcPr>
            <w:tcW w:w="144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14050</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cs="宋体" w:asciiTheme="minorEastAsia" w:hAnsiTheme="minorEastAsia" w:eastAsiaTheme="minorEastAsia"/>
                <w:bCs/>
                <w:color w:val="000000"/>
                <w:kern w:val="0"/>
                <w:sz w:val="18"/>
                <w:szCs w:val="18"/>
              </w:rPr>
            </w:pP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cs="宋体" w:asciiTheme="minorEastAsia" w:hAnsiTheme="minorEastAsia" w:eastAsiaTheme="minorEastAsia"/>
                <w:bCs/>
                <w:color w:val="000000"/>
                <w:kern w:val="0"/>
                <w:sz w:val="18"/>
                <w:szCs w:val="18"/>
              </w:rPr>
            </w:pPr>
          </w:p>
        </w:tc>
        <w:tc>
          <w:tcPr>
            <w:tcW w:w="3275"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cs="宋体" w:asciiTheme="minorEastAsia" w:hAnsiTheme="minorEastAsia" w:eastAsiaTheme="minorEastAsia"/>
                <w:bCs/>
                <w:color w:val="000000"/>
                <w:kern w:val="0"/>
                <w:sz w:val="18"/>
                <w:szCs w:val="18"/>
              </w:rPr>
            </w:pPr>
            <w:r>
              <w:rPr>
                <w:rFonts w:hint="eastAsia" w:cs="宋体" w:asciiTheme="minorEastAsia" w:hAnsiTheme="minorEastAsia" w:eastAsiaTheme="minorEastAsia"/>
                <w:bCs/>
                <w:color w:val="000000"/>
                <w:kern w:val="0"/>
                <w:sz w:val="18"/>
                <w:szCs w:val="18"/>
              </w:rPr>
              <w:t>三、调出资金</w:t>
            </w:r>
          </w:p>
        </w:tc>
        <w:tc>
          <w:tcPr>
            <w:tcW w:w="1440" w:type="dxa"/>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cs="宋体" w:asciiTheme="minorEastAsia" w:hAnsiTheme="minorEastAsia" w:eastAsiaTheme="minorEastAsia"/>
                <w:bCs/>
                <w:color w:val="000000"/>
                <w:kern w:val="0"/>
                <w:sz w:val="18"/>
                <w:szCs w:val="18"/>
              </w:rPr>
            </w:pPr>
            <w:r>
              <w:rPr>
                <w:rFonts w:cs="宋体" w:asciiTheme="minorEastAsia" w:hAnsiTheme="minorEastAsia" w:eastAsiaTheme="minorEastAsia"/>
                <w:bCs/>
                <w:color w:val="000000"/>
                <w:kern w:val="0"/>
                <w:sz w:val="18"/>
                <w:szCs w:val="18"/>
              </w:rPr>
              <w:t>4500</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cs="宋体" w:asciiTheme="minorEastAsia" w:hAnsiTheme="minorEastAsia" w:eastAsiaTheme="minorEastAsia"/>
                <w:bCs/>
                <w:color w:val="000000"/>
                <w:kern w:val="0"/>
                <w:sz w:val="18"/>
                <w:szCs w:val="18"/>
              </w:rPr>
            </w:pPr>
            <w:r>
              <w:rPr>
                <w:rFonts w:hint="eastAsia" w:cs="宋体" w:asciiTheme="minorEastAsia" w:hAnsiTheme="minorEastAsia" w:eastAsiaTheme="minorEastAsia"/>
                <w:bCs/>
                <w:color w:val="000000"/>
                <w:kern w:val="0"/>
                <w:sz w:val="18"/>
                <w:szCs w:val="18"/>
              </w:rPr>
              <w:t>收入合计</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cs="宋体" w:asciiTheme="minorEastAsia" w:hAnsiTheme="minorEastAsia" w:eastAsiaTheme="minorEastAsia"/>
                <w:bCs/>
                <w:color w:val="000000"/>
                <w:kern w:val="0"/>
                <w:sz w:val="18"/>
                <w:szCs w:val="18"/>
              </w:rPr>
            </w:pPr>
            <w:r>
              <w:rPr>
                <w:rFonts w:cs="宋体" w:asciiTheme="minorEastAsia" w:hAnsiTheme="minorEastAsia" w:eastAsiaTheme="minorEastAsia"/>
                <w:bCs/>
                <w:color w:val="000000"/>
                <w:kern w:val="0"/>
                <w:sz w:val="18"/>
                <w:szCs w:val="18"/>
              </w:rPr>
              <w:t>110271</w:t>
            </w:r>
          </w:p>
        </w:tc>
        <w:tc>
          <w:tcPr>
            <w:tcW w:w="3275" w:type="dxa"/>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cs="宋体" w:asciiTheme="minorEastAsia" w:hAnsiTheme="minorEastAsia" w:eastAsiaTheme="minorEastAsia"/>
                <w:bCs/>
                <w:color w:val="000000"/>
                <w:kern w:val="0"/>
                <w:sz w:val="18"/>
                <w:szCs w:val="18"/>
              </w:rPr>
            </w:pPr>
            <w:r>
              <w:rPr>
                <w:rFonts w:hint="eastAsia" w:cs="宋体" w:asciiTheme="minorEastAsia" w:hAnsiTheme="minorEastAsia" w:eastAsiaTheme="minorEastAsia"/>
                <w:bCs/>
                <w:color w:val="000000"/>
                <w:kern w:val="0"/>
                <w:sz w:val="18"/>
                <w:szCs w:val="18"/>
              </w:rPr>
              <w:t>支出合计</w:t>
            </w:r>
          </w:p>
        </w:tc>
        <w:tc>
          <w:tcPr>
            <w:tcW w:w="1440" w:type="dxa"/>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cs="宋体" w:asciiTheme="minorEastAsia" w:hAnsiTheme="minorEastAsia" w:eastAsiaTheme="minorEastAsia"/>
                <w:bCs/>
                <w:color w:val="000000"/>
                <w:kern w:val="0"/>
                <w:sz w:val="18"/>
                <w:szCs w:val="18"/>
              </w:rPr>
            </w:pPr>
            <w:r>
              <w:rPr>
                <w:rFonts w:cs="宋体" w:asciiTheme="minorEastAsia" w:hAnsiTheme="minorEastAsia" w:eastAsiaTheme="minorEastAsia"/>
                <w:bCs/>
                <w:color w:val="000000"/>
                <w:kern w:val="0"/>
                <w:sz w:val="18"/>
                <w:szCs w:val="18"/>
              </w:rPr>
              <w:t>110271</w:t>
            </w:r>
          </w:p>
        </w:tc>
      </w:tr>
    </w:tbl>
    <w:p>
      <w:pPr>
        <w:rPr>
          <w:rFonts w:ascii="黑体" w:hAnsi="黑体" w:eastAsia="黑体" w:cs="宋体"/>
          <w:color w:val="000000"/>
          <w:kern w:val="0"/>
          <w:sz w:val="32"/>
          <w:szCs w:val="32"/>
        </w:rPr>
      </w:pPr>
      <w:r>
        <w:rPr>
          <w:rFonts w:hint="eastAsia" w:ascii="黑体" w:hAnsi="黑体" w:eastAsia="黑体" w:cs="宋体"/>
          <w:color w:val="000000"/>
          <w:kern w:val="0"/>
          <w:sz w:val="32"/>
          <w:szCs w:val="32"/>
        </w:rPr>
        <w:t xml:space="preserve">附件3-03  </w:t>
      </w:r>
    </w:p>
    <w:p>
      <w:pPr>
        <w:jc w:val="center"/>
        <w:rPr>
          <w:rFonts w:ascii="方正小标宋简体" w:hAnsi="宋体" w:eastAsia="方正小标宋简体" w:cs="宋体"/>
          <w:color w:val="000000"/>
          <w:sz w:val="36"/>
          <w:szCs w:val="36"/>
        </w:rPr>
      </w:pPr>
      <w:r>
        <w:rPr>
          <w:rFonts w:hint="eastAsia" w:ascii="方正小标宋简体" w:eastAsia="方正小标宋简体"/>
          <w:color w:val="000000"/>
          <w:sz w:val="36"/>
          <w:szCs w:val="36"/>
        </w:rPr>
        <w:t>2021年社会保险基金预算（草案）计划表</w:t>
      </w:r>
    </w:p>
    <w:p>
      <w:pPr>
        <w:rPr>
          <w:rFonts w:ascii="宋体" w:hAnsi="宋体" w:cs="宋体"/>
          <w:color w:val="000000"/>
          <w:sz w:val="24"/>
        </w:rPr>
      </w:pPr>
      <w:r>
        <w:rPr>
          <w:rFonts w:hint="eastAsia" w:ascii="仿宋_GB2312" w:hAnsi="宋体" w:eastAsia="仿宋_GB2312" w:cs="宋体"/>
          <w:color w:val="000000"/>
          <w:kern w:val="0"/>
          <w:sz w:val="32"/>
          <w:szCs w:val="32"/>
        </w:rPr>
        <w:t xml:space="preserve">                                                 </w:t>
      </w:r>
      <w:r>
        <w:rPr>
          <w:rFonts w:hint="eastAsia"/>
          <w:color w:val="000000"/>
        </w:rPr>
        <w:t>单位：万元</w:t>
      </w:r>
    </w:p>
    <w:tbl>
      <w:tblPr>
        <w:tblStyle w:val="7"/>
        <w:tblW w:w="9375" w:type="dxa"/>
        <w:tblInd w:w="93" w:type="dxa"/>
        <w:tblLayout w:type="autofit"/>
        <w:tblCellMar>
          <w:top w:w="0" w:type="dxa"/>
          <w:left w:w="108" w:type="dxa"/>
          <w:bottom w:w="0" w:type="dxa"/>
          <w:right w:w="108" w:type="dxa"/>
        </w:tblCellMar>
      </w:tblPr>
      <w:tblGrid>
        <w:gridCol w:w="3255"/>
        <w:gridCol w:w="1440"/>
        <w:gridCol w:w="3060"/>
        <w:gridCol w:w="1620"/>
      </w:tblGrid>
      <w:tr>
        <w:tblPrEx>
          <w:tblCellMar>
            <w:top w:w="0" w:type="dxa"/>
            <w:left w:w="108" w:type="dxa"/>
            <w:bottom w:w="0" w:type="dxa"/>
            <w:right w:w="108" w:type="dxa"/>
          </w:tblCellMar>
        </w:tblPrEx>
        <w:trPr>
          <w:trHeight w:val="705" w:hRule="atLeast"/>
        </w:trPr>
        <w:tc>
          <w:tcPr>
            <w:tcW w:w="469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收 入 预 算</w:t>
            </w:r>
          </w:p>
        </w:tc>
        <w:tc>
          <w:tcPr>
            <w:tcW w:w="468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支 出 预 算</w:t>
            </w:r>
          </w:p>
        </w:tc>
      </w:tr>
      <w:tr>
        <w:tblPrEx>
          <w:tblCellMar>
            <w:top w:w="0" w:type="dxa"/>
            <w:left w:w="108" w:type="dxa"/>
            <w:bottom w:w="0" w:type="dxa"/>
            <w:right w:w="108" w:type="dxa"/>
          </w:tblCellMar>
        </w:tblPrEx>
        <w:trPr>
          <w:trHeight w:val="705" w:hRule="atLeast"/>
        </w:trPr>
        <w:tc>
          <w:tcPr>
            <w:tcW w:w="32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项    目</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金  额</w:t>
            </w:r>
          </w:p>
        </w:tc>
        <w:tc>
          <w:tcPr>
            <w:tcW w:w="3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项    目</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金  额</w:t>
            </w:r>
          </w:p>
        </w:tc>
      </w:tr>
      <w:tr>
        <w:tblPrEx>
          <w:tblCellMar>
            <w:top w:w="0" w:type="dxa"/>
            <w:left w:w="108" w:type="dxa"/>
            <w:bottom w:w="0" w:type="dxa"/>
            <w:right w:w="108" w:type="dxa"/>
          </w:tblCellMar>
        </w:tblPrEx>
        <w:trPr>
          <w:trHeight w:val="705" w:hRule="atLeast"/>
        </w:trPr>
        <w:tc>
          <w:tcPr>
            <w:tcW w:w="32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eastAsiaTheme="minorEastAsia"/>
                <w:bCs/>
                <w:color w:val="000000"/>
                <w:kern w:val="0"/>
                <w:sz w:val="18"/>
                <w:szCs w:val="18"/>
              </w:rPr>
            </w:pPr>
            <w:r>
              <w:rPr>
                <w:rFonts w:hint="eastAsia" w:cs="宋体" w:asciiTheme="minorEastAsia" w:hAnsiTheme="minorEastAsia" w:eastAsiaTheme="minorEastAsia"/>
                <w:bCs/>
                <w:color w:val="000000"/>
                <w:kern w:val="0"/>
                <w:sz w:val="18"/>
                <w:szCs w:val="18"/>
              </w:rPr>
              <w:t>一、本年收入</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Tahoma" w:asciiTheme="minorEastAsia" w:hAnsiTheme="minorEastAsia" w:eastAsiaTheme="minorEastAsia"/>
                <w:color w:val="000000"/>
                <w:kern w:val="0"/>
                <w:sz w:val="18"/>
                <w:szCs w:val="18"/>
              </w:rPr>
            </w:pPr>
            <w:r>
              <w:rPr>
                <w:rFonts w:cs="Tahoma" w:asciiTheme="minorEastAsia" w:hAnsiTheme="minorEastAsia" w:eastAsiaTheme="minorEastAsia"/>
                <w:color w:val="000000"/>
                <w:sz w:val="18"/>
                <w:szCs w:val="18"/>
              </w:rPr>
              <w:t>61756</w:t>
            </w:r>
          </w:p>
        </w:tc>
        <w:tc>
          <w:tcPr>
            <w:tcW w:w="3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eastAsiaTheme="minorEastAsia"/>
                <w:bCs/>
                <w:color w:val="000000"/>
                <w:kern w:val="0"/>
                <w:sz w:val="18"/>
                <w:szCs w:val="18"/>
              </w:rPr>
            </w:pPr>
            <w:r>
              <w:rPr>
                <w:rFonts w:hint="eastAsia" w:cs="宋体" w:asciiTheme="minorEastAsia" w:hAnsiTheme="minorEastAsia" w:eastAsiaTheme="minorEastAsia"/>
                <w:bCs/>
                <w:color w:val="000000"/>
                <w:kern w:val="0"/>
                <w:sz w:val="18"/>
                <w:szCs w:val="18"/>
              </w:rPr>
              <w:t>一、本年支出</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Tahoma" w:asciiTheme="minorEastAsia" w:hAnsiTheme="minorEastAsia" w:eastAsiaTheme="minorEastAsia"/>
                <w:color w:val="000000"/>
                <w:kern w:val="0"/>
                <w:sz w:val="18"/>
                <w:szCs w:val="18"/>
              </w:rPr>
            </w:pPr>
            <w:r>
              <w:rPr>
                <w:rFonts w:cs="Tahoma" w:asciiTheme="minorEastAsia" w:hAnsiTheme="minorEastAsia" w:eastAsiaTheme="minorEastAsia"/>
                <w:color w:val="000000"/>
                <w:sz w:val="18"/>
                <w:szCs w:val="18"/>
              </w:rPr>
              <w:t>52554</w:t>
            </w: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270" w:firstLineChars="150"/>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企业职工基本养老保险基金</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0</w:t>
            </w:r>
          </w:p>
        </w:tc>
        <w:tc>
          <w:tcPr>
            <w:tcW w:w="3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xml:space="preserve">   企业职工基本养老保险基金</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0</w:t>
            </w: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270" w:firstLineChars="150"/>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城乡居民基本养老保险基金</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16718</w:t>
            </w:r>
          </w:p>
        </w:tc>
        <w:tc>
          <w:tcPr>
            <w:tcW w:w="3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xml:space="preserve">   城乡居民基本养老保险基金</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9391</w:t>
            </w: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xml:space="preserve">   城镇职工基本医疗保险基金</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12883</w:t>
            </w:r>
          </w:p>
        </w:tc>
        <w:tc>
          <w:tcPr>
            <w:tcW w:w="3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xml:space="preserve">   城镇职工基本医疗保险基金</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10731</w:t>
            </w: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xml:space="preserve">   居民基本医疗保险基金</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0</w:t>
            </w:r>
          </w:p>
        </w:tc>
        <w:tc>
          <w:tcPr>
            <w:tcW w:w="3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xml:space="preserve">   居民基本医疗保险基金</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0</w:t>
            </w: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xml:space="preserve">   工伤保险基金</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680</w:t>
            </w:r>
          </w:p>
        </w:tc>
        <w:tc>
          <w:tcPr>
            <w:tcW w:w="3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xml:space="preserve">   工伤保险基金</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1011</w:t>
            </w: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xml:space="preserve">   失业保险基金</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1603</w:t>
            </w:r>
          </w:p>
        </w:tc>
        <w:tc>
          <w:tcPr>
            <w:tcW w:w="3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xml:space="preserve">   失业保险基金</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1549</w:t>
            </w: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xml:space="preserve">   机关事业养老保险基金</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29872</w:t>
            </w:r>
          </w:p>
        </w:tc>
        <w:tc>
          <w:tcPr>
            <w:tcW w:w="3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xml:space="preserve">   机关事业养老保险基金</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29872</w:t>
            </w: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bCs/>
                <w:color w:val="000000"/>
                <w:kern w:val="0"/>
                <w:sz w:val="18"/>
                <w:szCs w:val="18"/>
              </w:rPr>
              <w:t>二、历年滚存结余</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cs="Tahoma" w:asciiTheme="minorEastAsia" w:hAnsiTheme="minorEastAsia" w:eastAsiaTheme="minorEastAsia"/>
                <w:color w:val="000000"/>
                <w:sz w:val="18"/>
                <w:szCs w:val="18"/>
              </w:rPr>
              <w:t>43140</w:t>
            </w:r>
          </w:p>
        </w:tc>
        <w:tc>
          <w:tcPr>
            <w:tcW w:w="3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xml:space="preserve">   </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Tahoma" w:asciiTheme="minorEastAsia" w:hAnsiTheme="minorEastAsia" w:eastAsiaTheme="minorEastAsia"/>
                <w:color w:val="000000"/>
                <w:kern w:val="0"/>
                <w:sz w:val="18"/>
                <w:szCs w:val="18"/>
              </w:rPr>
            </w:pP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eastAsiaTheme="minorEastAsia"/>
                <w:bCs/>
                <w:color w:val="000000"/>
                <w:kern w:val="0"/>
                <w:sz w:val="18"/>
                <w:szCs w:val="18"/>
              </w:rPr>
            </w:pP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Tahoma" w:asciiTheme="minorEastAsia" w:hAnsiTheme="minorEastAsia" w:eastAsiaTheme="minorEastAsia"/>
                <w:color w:val="000000"/>
                <w:kern w:val="0"/>
                <w:sz w:val="18"/>
                <w:szCs w:val="18"/>
              </w:rPr>
            </w:pPr>
          </w:p>
        </w:tc>
        <w:tc>
          <w:tcPr>
            <w:tcW w:w="30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cs="宋体" w:asciiTheme="minorEastAsia" w:hAnsiTheme="minorEastAsia" w:eastAsiaTheme="minorEastAsia"/>
                <w:color w:val="000000"/>
                <w:kern w:val="0"/>
                <w:sz w:val="18"/>
                <w:szCs w:val="18"/>
              </w:rPr>
            </w:pPr>
          </w:p>
        </w:tc>
        <w:tc>
          <w:tcPr>
            <w:tcW w:w="30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cs="宋体" w:asciiTheme="minorEastAsia" w:hAnsiTheme="minorEastAsia" w:eastAsiaTheme="minorEastAsia"/>
                <w:color w:val="000000"/>
                <w:kern w:val="0"/>
                <w:sz w:val="18"/>
                <w:szCs w:val="18"/>
              </w:rPr>
            </w:pPr>
            <w:r>
              <w:rPr>
                <w:rFonts w:hint="eastAsia" w:cs="宋体" w:asciiTheme="minorEastAsia" w:hAnsiTheme="minorEastAsia" w:eastAsiaTheme="minorEastAsia"/>
                <w:color w:val="000000"/>
                <w:kern w:val="0"/>
                <w:sz w:val="18"/>
                <w:szCs w:val="18"/>
              </w:rPr>
              <w:t>　</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18"/>
                <w:szCs w:val="18"/>
              </w:rPr>
            </w:pP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bCs/>
                <w:color w:val="000000"/>
                <w:kern w:val="0"/>
                <w:sz w:val="18"/>
                <w:szCs w:val="18"/>
              </w:rPr>
            </w:pPr>
            <w:r>
              <w:rPr>
                <w:rFonts w:hint="eastAsia" w:cs="宋体" w:asciiTheme="minorEastAsia" w:hAnsiTheme="minorEastAsia" w:eastAsiaTheme="minorEastAsia"/>
                <w:bCs/>
                <w:color w:val="000000"/>
                <w:kern w:val="0"/>
                <w:sz w:val="18"/>
                <w:szCs w:val="18"/>
              </w:rPr>
              <w:t>收入合计</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bCs/>
                <w:color w:val="000000"/>
                <w:kern w:val="0"/>
                <w:sz w:val="18"/>
                <w:szCs w:val="18"/>
              </w:rPr>
            </w:pPr>
            <w:r>
              <w:rPr>
                <w:rFonts w:cs="宋体" w:asciiTheme="minorEastAsia" w:hAnsiTheme="minorEastAsia" w:eastAsiaTheme="minorEastAsia"/>
                <w:bCs/>
                <w:color w:val="000000"/>
                <w:kern w:val="0"/>
                <w:sz w:val="18"/>
                <w:szCs w:val="18"/>
              </w:rPr>
              <w:t>104896</w:t>
            </w:r>
          </w:p>
        </w:tc>
        <w:tc>
          <w:tcPr>
            <w:tcW w:w="30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bCs/>
                <w:color w:val="000000"/>
                <w:kern w:val="0"/>
                <w:sz w:val="18"/>
                <w:szCs w:val="18"/>
              </w:rPr>
            </w:pPr>
            <w:r>
              <w:rPr>
                <w:rFonts w:hint="eastAsia" w:cs="宋体" w:asciiTheme="minorEastAsia" w:hAnsiTheme="minorEastAsia" w:eastAsiaTheme="minorEastAsia"/>
                <w:bCs/>
                <w:color w:val="000000"/>
                <w:kern w:val="0"/>
                <w:sz w:val="18"/>
                <w:szCs w:val="18"/>
              </w:rPr>
              <w:t>支出合计</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Tahoma" w:asciiTheme="minorEastAsia" w:hAnsiTheme="minorEastAsia" w:eastAsiaTheme="minorEastAsia"/>
                <w:color w:val="000000"/>
                <w:kern w:val="0"/>
                <w:sz w:val="18"/>
                <w:szCs w:val="18"/>
              </w:rPr>
            </w:pPr>
            <w:r>
              <w:rPr>
                <w:rFonts w:cs="Tahoma" w:asciiTheme="minorEastAsia" w:hAnsiTheme="minorEastAsia" w:eastAsiaTheme="minorEastAsia"/>
                <w:color w:val="000000"/>
                <w:sz w:val="18"/>
                <w:szCs w:val="18"/>
              </w:rPr>
              <w:t>52554</w:t>
            </w: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cs="宋体" w:asciiTheme="minorEastAsia" w:hAnsiTheme="minorEastAsia" w:eastAsiaTheme="minorEastAsia"/>
                <w:bCs/>
                <w:color w:val="000000"/>
                <w:kern w:val="0"/>
                <w:sz w:val="18"/>
                <w:szCs w:val="18"/>
              </w:rPr>
            </w:pPr>
            <w:r>
              <w:rPr>
                <w:rFonts w:hint="eastAsia" w:cs="宋体" w:asciiTheme="minorEastAsia" w:hAnsiTheme="minorEastAsia" w:eastAsiaTheme="minorEastAsia"/>
                <w:bCs/>
                <w:color w:val="000000"/>
                <w:kern w:val="0"/>
                <w:sz w:val="18"/>
                <w:szCs w:val="18"/>
              </w:rPr>
              <w:t>　</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cs="宋体" w:asciiTheme="minorEastAsia" w:hAnsiTheme="minorEastAsia" w:eastAsiaTheme="minorEastAsia"/>
                <w:bCs/>
                <w:color w:val="000000"/>
                <w:kern w:val="0"/>
                <w:sz w:val="18"/>
                <w:szCs w:val="18"/>
              </w:rPr>
            </w:pPr>
            <w:r>
              <w:rPr>
                <w:rFonts w:hint="eastAsia" w:cs="宋体" w:asciiTheme="minorEastAsia" w:hAnsiTheme="minorEastAsia" w:eastAsiaTheme="minorEastAsia"/>
                <w:bCs/>
                <w:color w:val="000000"/>
                <w:kern w:val="0"/>
                <w:sz w:val="18"/>
                <w:szCs w:val="18"/>
              </w:rPr>
              <w:t>　</w:t>
            </w:r>
          </w:p>
        </w:tc>
        <w:tc>
          <w:tcPr>
            <w:tcW w:w="30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bCs/>
                <w:color w:val="000000"/>
                <w:kern w:val="0"/>
                <w:sz w:val="18"/>
                <w:szCs w:val="18"/>
              </w:rPr>
            </w:pPr>
            <w:r>
              <w:rPr>
                <w:rFonts w:hint="eastAsia" w:cs="宋体" w:asciiTheme="minorEastAsia" w:hAnsiTheme="minorEastAsia" w:eastAsiaTheme="minorEastAsia"/>
                <w:bCs/>
                <w:color w:val="000000"/>
                <w:kern w:val="0"/>
                <w:sz w:val="18"/>
                <w:szCs w:val="18"/>
              </w:rPr>
              <w:t>结转下年</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Tahoma" w:asciiTheme="minorEastAsia" w:hAnsiTheme="minorEastAsia" w:eastAsiaTheme="minorEastAsia"/>
                <w:color w:val="000000"/>
                <w:sz w:val="18"/>
                <w:szCs w:val="18"/>
              </w:rPr>
            </w:pPr>
            <w:r>
              <w:rPr>
                <w:rFonts w:hint="eastAsia" w:cs="Tahoma" w:asciiTheme="minorEastAsia" w:hAnsiTheme="minorEastAsia" w:eastAsiaTheme="minorEastAsia"/>
                <w:color w:val="000000"/>
                <w:sz w:val="18"/>
                <w:szCs w:val="18"/>
              </w:rPr>
              <w:t>52342</w:t>
            </w:r>
          </w:p>
        </w:tc>
      </w:tr>
    </w:tbl>
    <w:p>
      <w:pPr>
        <w:rPr>
          <w:rFonts w:asciiTheme="minorEastAsia" w:hAnsiTheme="minorEastAsia" w:eastAsiaTheme="minorEastAsia"/>
          <w:color w:val="000000"/>
          <w:sz w:val="18"/>
          <w:szCs w:val="18"/>
        </w:rPr>
      </w:pPr>
    </w:p>
    <w:p>
      <w:pPr>
        <w:spacing w:line="560" w:lineRule="exact"/>
        <w:ind w:firstLine="640" w:firstLineChars="200"/>
        <w:rPr>
          <w:rFonts w:ascii="仿宋_GB2312" w:hAnsi="宋体" w:eastAsia="仿宋_GB2312" w:cs="宋体"/>
          <w:color w:val="000000"/>
          <w:kern w:val="0"/>
          <w:sz w:val="32"/>
          <w:szCs w:val="32"/>
        </w:rPr>
      </w:pPr>
    </w:p>
    <w:p>
      <w:pPr>
        <w:pStyle w:val="2"/>
      </w:pPr>
    </w:p>
    <w:p>
      <w:pPr>
        <w:rPr>
          <w:rFonts w:ascii="黑体" w:hAnsi="黑体" w:eastAsia="黑体" w:cs="宋体"/>
          <w:color w:val="000000"/>
          <w:kern w:val="0"/>
          <w:sz w:val="32"/>
          <w:szCs w:val="32"/>
        </w:rPr>
      </w:pPr>
      <w:r>
        <w:rPr>
          <w:rFonts w:hint="eastAsia" w:ascii="黑体" w:hAnsi="黑体" w:eastAsia="黑体" w:cs="宋体"/>
          <w:color w:val="000000"/>
          <w:kern w:val="0"/>
          <w:sz w:val="32"/>
          <w:szCs w:val="32"/>
        </w:rPr>
        <w:t>附件3-0</w:t>
      </w:r>
      <w:r>
        <w:rPr>
          <w:rFonts w:ascii="黑体" w:hAnsi="黑体" w:eastAsia="黑体" w:cs="宋体"/>
          <w:color w:val="000000"/>
          <w:kern w:val="0"/>
          <w:sz w:val="32"/>
          <w:szCs w:val="32"/>
        </w:rPr>
        <w:t>4</w:t>
      </w:r>
      <w:r>
        <w:rPr>
          <w:rFonts w:hint="eastAsia" w:ascii="黑体" w:hAnsi="黑体" w:eastAsia="黑体" w:cs="宋体"/>
          <w:color w:val="000000"/>
          <w:kern w:val="0"/>
          <w:sz w:val="32"/>
          <w:szCs w:val="32"/>
        </w:rPr>
        <w:t xml:space="preserve">  </w:t>
      </w:r>
    </w:p>
    <w:p>
      <w:pPr>
        <w:jc w:val="center"/>
        <w:rPr>
          <w:rFonts w:ascii="方正小标宋简体" w:hAnsi="宋体" w:eastAsia="方正小标宋简体" w:cs="宋体"/>
          <w:color w:val="000000"/>
          <w:sz w:val="36"/>
          <w:szCs w:val="36"/>
        </w:rPr>
      </w:pPr>
      <w:r>
        <w:rPr>
          <w:rFonts w:hint="eastAsia" w:ascii="方正小标宋简体" w:eastAsia="方正小标宋简体"/>
          <w:color w:val="000000"/>
          <w:sz w:val="36"/>
          <w:szCs w:val="36"/>
        </w:rPr>
        <w:t>2021年国有</w:t>
      </w:r>
      <w:r>
        <w:rPr>
          <w:rFonts w:ascii="方正小标宋简体" w:eastAsia="方正小标宋简体"/>
          <w:color w:val="000000"/>
          <w:sz w:val="36"/>
          <w:szCs w:val="36"/>
        </w:rPr>
        <w:t>资本经营</w:t>
      </w:r>
      <w:r>
        <w:rPr>
          <w:rFonts w:hint="eastAsia" w:ascii="方正小标宋简体" w:eastAsia="方正小标宋简体"/>
          <w:color w:val="000000"/>
          <w:sz w:val="36"/>
          <w:szCs w:val="36"/>
        </w:rPr>
        <w:t>预算（草案）计划表</w:t>
      </w:r>
    </w:p>
    <w:p>
      <w:pPr>
        <w:rPr>
          <w:rFonts w:ascii="宋体" w:hAnsi="宋体" w:cs="宋体"/>
          <w:color w:val="000000"/>
          <w:sz w:val="24"/>
        </w:rPr>
      </w:pPr>
      <w:r>
        <w:rPr>
          <w:rFonts w:hint="eastAsia" w:ascii="仿宋_GB2312" w:hAnsi="宋体" w:eastAsia="仿宋_GB2312" w:cs="宋体"/>
          <w:color w:val="000000"/>
          <w:kern w:val="0"/>
          <w:sz w:val="32"/>
          <w:szCs w:val="32"/>
        </w:rPr>
        <w:t xml:space="preserve">                                                 </w:t>
      </w:r>
      <w:r>
        <w:rPr>
          <w:rFonts w:hint="eastAsia"/>
          <w:color w:val="000000"/>
        </w:rPr>
        <w:t>单位：万元</w:t>
      </w:r>
    </w:p>
    <w:tbl>
      <w:tblPr>
        <w:tblStyle w:val="7"/>
        <w:tblW w:w="9375" w:type="dxa"/>
        <w:tblInd w:w="93" w:type="dxa"/>
        <w:tblLayout w:type="autofit"/>
        <w:tblCellMar>
          <w:top w:w="0" w:type="dxa"/>
          <w:left w:w="108" w:type="dxa"/>
          <w:bottom w:w="0" w:type="dxa"/>
          <w:right w:w="108" w:type="dxa"/>
        </w:tblCellMar>
      </w:tblPr>
      <w:tblGrid>
        <w:gridCol w:w="3255"/>
        <w:gridCol w:w="1440"/>
        <w:gridCol w:w="3060"/>
        <w:gridCol w:w="1620"/>
      </w:tblGrid>
      <w:tr>
        <w:tblPrEx>
          <w:tblCellMar>
            <w:top w:w="0" w:type="dxa"/>
            <w:left w:w="108" w:type="dxa"/>
            <w:bottom w:w="0" w:type="dxa"/>
            <w:right w:w="108" w:type="dxa"/>
          </w:tblCellMar>
        </w:tblPrEx>
        <w:trPr>
          <w:trHeight w:val="705" w:hRule="atLeast"/>
        </w:trPr>
        <w:tc>
          <w:tcPr>
            <w:tcW w:w="469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收 入 预 算</w:t>
            </w:r>
          </w:p>
        </w:tc>
        <w:tc>
          <w:tcPr>
            <w:tcW w:w="468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支 出 预 算</w:t>
            </w:r>
          </w:p>
        </w:tc>
      </w:tr>
      <w:tr>
        <w:tblPrEx>
          <w:tblCellMar>
            <w:top w:w="0" w:type="dxa"/>
            <w:left w:w="108" w:type="dxa"/>
            <w:bottom w:w="0" w:type="dxa"/>
            <w:right w:w="108" w:type="dxa"/>
          </w:tblCellMar>
        </w:tblPrEx>
        <w:trPr>
          <w:trHeight w:val="705" w:hRule="atLeast"/>
        </w:trPr>
        <w:tc>
          <w:tcPr>
            <w:tcW w:w="325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项    目</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金  额</w:t>
            </w:r>
          </w:p>
        </w:tc>
        <w:tc>
          <w:tcPr>
            <w:tcW w:w="3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项    目</w:t>
            </w:r>
          </w:p>
        </w:tc>
        <w:tc>
          <w:tcPr>
            <w:tcW w:w="16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金  额</w:t>
            </w:r>
          </w:p>
        </w:tc>
      </w:tr>
      <w:tr>
        <w:tblPrEx>
          <w:tblCellMar>
            <w:top w:w="0" w:type="dxa"/>
            <w:left w:w="108" w:type="dxa"/>
            <w:bottom w:w="0" w:type="dxa"/>
            <w:right w:w="108" w:type="dxa"/>
          </w:tblCellMar>
        </w:tblPrEx>
        <w:trPr>
          <w:trHeight w:val="705" w:hRule="atLeast"/>
        </w:trPr>
        <w:tc>
          <w:tcPr>
            <w:tcW w:w="325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Cs/>
                <w:color w:val="000000"/>
                <w:kern w:val="0"/>
                <w:sz w:val="18"/>
                <w:szCs w:val="18"/>
              </w:rPr>
            </w:pPr>
            <w:r>
              <w:rPr>
                <w:rFonts w:hint="eastAsia" w:ascii="宋体" w:hAnsi="宋体" w:cs="宋体"/>
                <w:bCs/>
                <w:color w:val="000000"/>
                <w:kern w:val="0"/>
                <w:sz w:val="18"/>
                <w:szCs w:val="18"/>
              </w:rPr>
              <w:t>一、本年收入</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Cs/>
                <w:color w:val="000000"/>
                <w:kern w:val="0"/>
                <w:sz w:val="18"/>
                <w:szCs w:val="18"/>
              </w:rPr>
            </w:pPr>
            <w:r>
              <w:rPr>
                <w:rFonts w:ascii="宋体" w:hAnsi="宋体" w:cs="宋体"/>
                <w:bCs/>
                <w:color w:val="000000"/>
                <w:kern w:val="0"/>
                <w:sz w:val="18"/>
                <w:szCs w:val="18"/>
              </w:rPr>
              <w:t>459</w:t>
            </w:r>
          </w:p>
        </w:tc>
        <w:tc>
          <w:tcPr>
            <w:tcW w:w="30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Cs/>
                <w:color w:val="000000"/>
                <w:kern w:val="0"/>
                <w:sz w:val="18"/>
                <w:szCs w:val="18"/>
              </w:rPr>
            </w:pPr>
            <w:r>
              <w:rPr>
                <w:rFonts w:hint="eastAsia" w:ascii="宋体" w:hAnsi="宋体" w:cs="宋体"/>
                <w:bCs/>
                <w:color w:val="000000"/>
                <w:kern w:val="0"/>
                <w:sz w:val="18"/>
                <w:szCs w:val="18"/>
              </w:rPr>
              <w:t>一、本年支出</w:t>
            </w:r>
          </w:p>
        </w:tc>
        <w:tc>
          <w:tcPr>
            <w:tcW w:w="16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Cs/>
                <w:color w:val="000000"/>
                <w:kern w:val="0"/>
                <w:sz w:val="18"/>
                <w:szCs w:val="18"/>
              </w:rPr>
            </w:pPr>
            <w:r>
              <w:rPr>
                <w:rFonts w:ascii="宋体" w:hAnsi="宋体" w:cs="宋体"/>
                <w:bCs/>
                <w:color w:val="000000"/>
                <w:kern w:val="0"/>
                <w:sz w:val="18"/>
                <w:szCs w:val="18"/>
              </w:rPr>
              <w:t>232</w:t>
            </w: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shd w:val="clear" w:color="auto" w:fill="auto"/>
            <w:vAlign w:val="center"/>
          </w:tcPr>
          <w:p>
            <w:pPr>
              <w:widowControl/>
              <w:ind w:firstLine="270" w:firstLineChars="150"/>
              <w:jc w:val="left"/>
              <w:rPr>
                <w:rFonts w:ascii="宋体" w:hAnsi="宋体" w:cs="宋体"/>
                <w:color w:val="000000"/>
                <w:kern w:val="0"/>
                <w:sz w:val="18"/>
                <w:szCs w:val="18"/>
              </w:rPr>
            </w:pPr>
            <w:r>
              <w:rPr>
                <w:rFonts w:hint="eastAsia" w:ascii="宋体" w:hAnsi="宋体" w:cs="宋体"/>
                <w:color w:val="000000"/>
                <w:kern w:val="0"/>
                <w:sz w:val="18"/>
                <w:szCs w:val="18"/>
              </w:rPr>
              <w:t>利润收入</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228</w:t>
            </w:r>
          </w:p>
        </w:tc>
        <w:tc>
          <w:tcPr>
            <w:tcW w:w="30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xml:space="preserve">  解决</w:t>
            </w:r>
            <w:r>
              <w:rPr>
                <w:rFonts w:ascii="宋体" w:hAnsi="宋体" w:cs="宋体"/>
                <w:color w:val="000000"/>
                <w:kern w:val="0"/>
                <w:sz w:val="18"/>
                <w:szCs w:val="18"/>
              </w:rPr>
              <w:t>历史遗留及改革成本支出</w:t>
            </w:r>
          </w:p>
        </w:tc>
        <w:tc>
          <w:tcPr>
            <w:tcW w:w="16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w:t>
            </w: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shd w:val="clear" w:color="auto" w:fill="auto"/>
            <w:vAlign w:val="center"/>
          </w:tcPr>
          <w:p>
            <w:pPr>
              <w:widowControl/>
              <w:ind w:firstLine="270" w:firstLineChars="150"/>
              <w:jc w:val="left"/>
              <w:rPr>
                <w:rFonts w:ascii="宋体" w:hAnsi="宋体" w:cs="宋体"/>
                <w:color w:val="000000"/>
                <w:kern w:val="0"/>
                <w:sz w:val="18"/>
                <w:szCs w:val="18"/>
              </w:rPr>
            </w:pPr>
            <w:r>
              <w:rPr>
                <w:rFonts w:hint="eastAsia" w:ascii="宋体" w:hAnsi="宋体" w:cs="宋体"/>
                <w:color w:val="000000"/>
                <w:kern w:val="0"/>
                <w:sz w:val="18"/>
                <w:szCs w:val="18"/>
              </w:rPr>
              <w:t>股利、</w:t>
            </w:r>
            <w:r>
              <w:rPr>
                <w:rFonts w:ascii="宋体" w:hAnsi="宋体" w:cs="宋体"/>
                <w:color w:val="000000"/>
                <w:kern w:val="0"/>
                <w:sz w:val="18"/>
                <w:szCs w:val="18"/>
              </w:rPr>
              <w:t>利息收入</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231</w:t>
            </w:r>
          </w:p>
        </w:tc>
        <w:tc>
          <w:tcPr>
            <w:tcW w:w="30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xml:space="preserve">  国有</w:t>
            </w:r>
            <w:r>
              <w:rPr>
                <w:rFonts w:ascii="宋体" w:hAnsi="宋体" w:cs="宋体"/>
                <w:color w:val="000000"/>
                <w:kern w:val="0"/>
                <w:sz w:val="18"/>
                <w:szCs w:val="18"/>
              </w:rPr>
              <w:t>企业资本金注入</w:t>
            </w:r>
          </w:p>
        </w:tc>
        <w:tc>
          <w:tcPr>
            <w:tcW w:w="16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228</w:t>
            </w: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xml:space="preserve">   产权转让</w:t>
            </w:r>
            <w:r>
              <w:rPr>
                <w:rFonts w:ascii="宋体" w:hAnsi="宋体" w:cs="宋体"/>
                <w:color w:val="000000"/>
                <w:kern w:val="0"/>
                <w:sz w:val="18"/>
                <w:szCs w:val="18"/>
              </w:rPr>
              <w:t>收入</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p>
        </w:tc>
        <w:tc>
          <w:tcPr>
            <w:tcW w:w="30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xml:space="preserve">  国有</w:t>
            </w:r>
            <w:r>
              <w:rPr>
                <w:rFonts w:ascii="宋体" w:hAnsi="宋体" w:cs="宋体"/>
                <w:color w:val="000000"/>
                <w:kern w:val="0"/>
                <w:sz w:val="18"/>
                <w:szCs w:val="18"/>
              </w:rPr>
              <w:t>企业政策性</w:t>
            </w:r>
            <w:r>
              <w:rPr>
                <w:rFonts w:hint="eastAsia" w:ascii="宋体" w:hAnsi="宋体" w:cs="宋体"/>
                <w:color w:val="000000"/>
                <w:kern w:val="0"/>
                <w:sz w:val="18"/>
                <w:szCs w:val="18"/>
              </w:rPr>
              <w:t>补贴</w:t>
            </w:r>
          </w:p>
        </w:tc>
        <w:tc>
          <w:tcPr>
            <w:tcW w:w="16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xml:space="preserve">   清算收入</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p>
        </w:tc>
        <w:tc>
          <w:tcPr>
            <w:tcW w:w="30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xml:space="preserve">  金融</w:t>
            </w:r>
            <w:r>
              <w:rPr>
                <w:rFonts w:ascii="宋体" w:hAnsi="宋体" w:cs="宋体"/>
                <w:color w:val="000000"/>
                <w:kern w:val="0"/>
                <w:sz w:val="18"/>
                <w:szCs w:val="18"/>
              </w:rPr>
              <w:t>国有资本经营预算支出</w:t>
            </w:r>
          </w:p>
        </w:tc>
        <w:tc>
          <w:tcPr>
            <w:tcW w:w="16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xml:space="preserve">   其他国有</w:t>
            </w:r>
            <w:r>
              <w:rPr>
                <w:rFonts w:ascii="宋体" w:hAnsi="宋体" w:cs="宋体"/>
                <w:color w:val="000000"/>
                <w:kern w:val="0"/>
                <w:sz w:val="18"/>
                <w:szCs w:val="18"/>
              </w:rPr>
              <w:t>资本经营收入</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p>
        </w:tc>
        <w:tc>
          <w:tcPr>
            <w:tcW w:w="30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xml:space="preserve">  其他</w:t>
            </w:r>
            <w:r>
              <w:rPr>
                <w:rFonts w:ascii="宋体" w:hAnsi="宋体" w:cs="宋体"/>
                <w:color w:val="000000"/>
                <w:kern w:val="0"/>
                <w:sz w:val="18"/>
                <w:szCs w:val="18"/>
              </w:rPr>
              <w:t>国有资本经营预算支出</w:t>
            </w:r>
          </w:p>
        </w:tc>
        <w:tc>
          <w:tcPr>
            <w:tcW w:w="16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p>
        </w:tc>
        <w:tc>
          <w:tcPr>
            <w:tcW w:w="30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p>
        </w:tc>
        <w:tc>
          <w:tcPr>
            <w:tcW w:w="16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bCs/>
                <w:color w:val="000000"/>
                <w:kern w:val="0"/>
                <w:sz w:val="18"/>
                <w:szCs w:val="18"/>
              </w:rPr>
              <w:t>二、转移性</w:t>
            </w:r>
            <w:r>
              <w:rPr>
                <w:rFonts w:ascii="宋体" w:hAnsi="宋体" w:cs="宋体"/>
                <w:bCs/>
                <w:color w:val="000000"/>
                <w:kern w:val="0"/>
                <w:sz w:val="18"/>
                <w:szCs w:val="18"/>
              </w:rPr>
              <w:t>收入</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p>
        </w:tc>
        <w:tc>
          <w:tcPr>
            <w:tcW w:w="30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二</w:t>
            </w:r>
            <w:r>
              <w:rPr>
                <w:rFonts w:ascii="宋体" w:hAnsi="宋体" w:cs="宋体"/>
                <w:color w:val="000000"/>
                <w:kern w:val="0"/>
                <w:sz w:val="18"/>
                <w:szCs w:val="18"/>
              </w:rPr>
              <w:t>、转移性支出</w:t>
            </w:r>
          </w:p>
        </w:tc>
        <w:tc>
          <w:tcPr>
            <w:tcW w:w="16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ascii="宋体" w:hAnsi="宋体" w:cs="宋体"/>
                <w:color w:val="000000"/>
                <w:kern w:val="0"/>
                <w:sz w:val="18"/>
                <w:szCs w:val="18"/>
              </w:rPr>
              <w:t>231</w:t>
            </w: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三</w:t>
            </w:r>
            <w:r>
              <w:rPr>
                <w:rFonts w:ascii="宋体" w:hAnsi="宋体" w:cs="宋体"/>
                <w:color w:val="000000"/>
                <w:kern w:val="0"/>
                <w:sz w:val="18"/>
                <w:szCs w:val="18"/>
              </w:rPr>
              <w:t>、上年结转</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30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xml:space="preserve">  调出</w:t>
            </w:r>
            <w:r>
              <w:rPr>
                <w:rFonts w:ascii="宋体" w:hAnsi="宋体" w:cs="宋体"/>
                <w:color w:val="000000"/>
                <w:kern w:val="0"/>
                <w:sz w:val="18"/>
                <w:szCs w:val="18"/>
              </w:rPr>
              <w:t>资金</w:t>
            </w:r>
          </w:p>
        </w:tc>
        <w:tc>
          <w:tcPr>
            <w:tcW w:w="16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231</w:t>
            </w: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Cs/>
                <w:color w:val="000000"/>
                <w:kern w:val="0"/>
                <w:sz w:val="18"/>
                <w:szCs w:val="18"/>
              </w:rPr>
            </w:pP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Cs/>
                <w:color w:val="000000"/>
                <w:kern w:val="0"/>
                <w:sz w:val="18"/>
                <w:szCs w:val="18"/>
              </w:rPr>
            </w:pP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p>
        </w:tc>
        <w:tc>
          <w:tcPr>
            <w:tcW w:w="16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4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p>
        </w:tc>
        <w:tc>
          <w:tcPr>
            <w:tcW w:w="16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收入合计</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Cs/>
                <w:color w:val="000000"/>
                <w:kern w:val="0"/>
                <w:sz w:val="18"/>
                <w:szCs w:val="18"/>
              </w:rPr>
            </w:pPr>
            <w:r>
              <w:rPr>
                <w:rFonts w:ascii="宋体" w:hAnsi="宋体" w:cs="宋体"/>
                <w:bCs/>
                <w:color w:val="000000"/>
                <w:kern w:val="0"/>
                <w:sz w:val="18"/>
                <w:szCs w:val="18"/>
              </w:rPr>
              <w:t>463</w:t>
            </w:r>
          </w:p>
        </w:tc>
        <w:tc>
          <w:tcPr>
            <w:tcW w:w="30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支出合计</w:t>
            </w:r>
          </w:p>
        </w:tc>
        <w:tc>
          <w:tcPr>
            <w:tcW w:w="16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Cs/>
                <w:color w:val="000000"/>
                <w:kern w:val="0"/>
                <w:sz w:val="18"/>
                <w:szCs w:val="18"/>
              </w:rPr>
            </w:pPr>
            <w:r>
              <w:rPr>
                <w:rFonts w:ascii="宋体" w:hAnsi="宋体" w:cs="宋体"/>
                <w:bCs/>
                <w:color w:val="000000"/>
                <w:kern w:val="0"/>
                <w:sz w:val="18"/>
                <w:szCs w:val="18"/>
              </w:rPr>
              <w:t>463</w:t>
            </w: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bCs/>
                <w:color w:val="000000"/>
                <w:kern w:val="0"/>
                <w:sz w:val="18"/>
                <w:szCs w:val="18"/>
              </w:rPr>
            </w:pPr>
            <w:r>
              <w:rPr>
                <w:rFonts w:hint="eastAsia" w:ascii="宋体" w:hAnsi="宋体" w:cs="宋体"/>
                <w:bCs/>
                <w:color w:val="000000"/>
                <w:kern w:val="0"/>
                <w:sz w:val="18"/>
                <w:szCs w:val="18"/>
              </w:rPr>
              <w:t>　</w:t>
            </w:r>
          </w:p>
        </w:tc>
        <w:tc>
          <w:tcPr>
            <w:tcW w:w="14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bCs/>
                <w:color w:val="000000"/>
                <w:kern w:val="0"/>
                <w:sz w:val="18"/>
                <w:szCs w:val="18"/>
              </w:rPr>
            </w:pPr>
            <w:r>
              <w:rPr>
                <w:rFonts w:hint="eastAsia" w:ascii="宋体" w:hAnsi="宋体" w:cs="宋体"/>
                <w:bCs/>
                <w:color w:val="000000"/>
                <w:kern w:val="0"/>
                <w:sz w:val="18"/>
                <w:szCs w:val="18"/>
              </w:rPr>
              <w:t>　</w:t>
            </w:r>
          </w:p>
        </w:tc>
        <w:tc>
          <w:tcPr>
            <w:tcW w:w="30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Cs/>
                <w:color w:val="000000"/>
                <w:kern w:val="0"/>
                <w:sz w:val="18"/>
                <w:szCs w:val="18"/>
              </w:rPr>
            </w:pPr>
            <w:r>
              <w:rPr>
                <w:rFonts w:hint="eastAsia" w:ascii="宋体" w:hAnsi="宋体" w:cs="宋体"/>
                <w:bCs/>
                <w:color w:val="000000"/>
                <w:kern w:val="0"/>
                <w:sz w:val="18"/>
                <w:szCs w:val="18"/>
              </w:rPr>
              <w:t>结转下年</w:t>
            </w:r>
          </w:p>
        </w:tc>
        <w:tc>
          <w:tcPr>
            <w:tcW w:w="16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Cs/>
                <w:color w:val="000000"/>
                <w:kern w:val="0"/>
                <w:sz w:val="18"/>
                <w:szCs w:val="18"/>
              </w:rPr>
            </w:pPr>
          </w:p>
        </w:tc>
      </w:tr>
    </w:tbl>
    <w:p>
      <w:pPr>
        <w:rPr>
          <w:color w:val="000000"/>
        </w:rPr>
      </w:pPr>
    </w:p>
    <w:p>
      <w:pPr>
        <w:rPr>
          <w:color w:val="000000"/>
        </w:rPr>
      </w:pPr>
    </w:p>
    <w:p/>
    <w:sectPr>
      <w:headerReference r:id="rId5" w:type="first"/>
      <w:footerReference r:id="rId8" w:type="first"/>
      <w:headerReference r:id="rId3" w:type="default"/>
      <w:footerReference r:id="rId6" w:type="default"/>
      <w:headerReference r:id="rId4" w:type="even"/>
      <w:footerReference r:id="rId7" w:type="even"/>
      <w:pgSz w:w="11906" w:h="16838"/>
      <w:pgMar w:top="1701" w:right="1474" w:bottom="1701" w:left="1531" w:header="1021" w:footer="1361"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0382301"/>
    </w:sdtPr>
    <w:sdtEndPr>
      <w:rPr>
        <w:sz w:val="28"/>
        <w:szCs w:val="28"/>
      </w:rPr>
    </w:sdtEndPr>
    <w:sdtContent>
      <w:p>
        <w:pPr>
          <w:pStyle w:val="4"/>
          <w:jc w:val="right"/>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w:t>
        </w:r>
        <w:r>
          <w:rPr>
            <w:sz w:val="28"/>
            <w:szCs w:val="28"/>
          </w:rPr>
          <w:t xml:space="preserve"> 22 -</w:t>
        </w:r>
        <w:r>
          <w:rPr>
            <w:sz w:val="28"/>
            <w:szCs w:val="28"/>
          </w:rPr>
          <w:fldChar w:fldCharType="end"/>
        </w:r>
      </w:p>
    </w:sdtContent>
  </w:sdt>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end"/>
    </w:r>
  </w:p>
  <w:p>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98323F"/>
    <w:multiLevelType w:val="singleLevel"/>
    <w:tmpl w:val="3098323F"/>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D05C3C"/>
    <w:rsid w:val="00020616"/>
    <w:rsid w:val="00022012"/>
    <w:rsid w:val="00027DC2"/>
    <w:rsid w:val="00042CEE"/>
    <w:rsid w:val="00045783"/>
    <w:rsid w:val="000534FF"/>
    <w:rsid w:val="0005528A"/>
    <w:rsid w:val="000743CD"/>
    <w:rsid w:val="000745E7"/>
    <w:rsid w:val="000844F2"/>
    <w:rsid w:val="00087112"/>
    <w:rsid w:val="0008720B"/>
    <w:rsid w:val="00091741"/>
    <w:rsid w:val="000B3E80"/>
    <w:rsid w:val="000E2A1F"/>
    <w:rsid w:val="000F3F28"/>
    <w:rsid w:val="00105501"/>
    <w:rsid w:val="001141A7"/>
    <w:rsid w:val="0013071E"/>
    <w:rsid w:val="00130C6C"/>
    <w:rsid w:val="0013747F"/>
    <w:rsid w:val="001436CE"/>
    <w:rsid w:val="0014643B"/>
    <w:rsid w:val="0015012D"/>
    <w:rsid w:val="00151A95"/>
    <w:rsid w:val="00152500"/>
    <w:rsid w:val="00153A8F"/>
    <w:rsid w:val="00165530"/>
    <w:rsid w:val="0017055F"/>
    <w:rsid w:val="001722F5"/>
    <w:rsid w:val="001725FA"/>
    <w:rsid w:val="0017410B"/>
    <w:rsid w:val="00174855"/>
    <w:rsid w:val="0018151B"/>
    <w:rsid w:val="001826BD"/>
    <w:rsid w:val="00196C7A"/>
    <w:rsid w:val="001A0D30"/>
    <w:rsid w:val="001C6F14"/>
    <w:rsid w:val="001E2CE1"/>
    <w:rsid w:val="001E40D4"/>
    <w:rsid w:val="001E54B1"/>
    <w:rsid w:val="001F3700"/>
    <w:rsid w:val="0020775A"/>
    <w:rsid w:val="00220169"/>
    <w:rsid w:val="00221F01"/>
    <w:rsid w:val="0022771E"/>
    <w:rsid w:val="002306E7"/>
    <w:rsid w:val="0023329B"/>
    <w:rsid w:val="0025007B"/>
    <w:rsid w:val="0025020D"/>
    <w:rsid w:val="0025287C"/>
    <w:rsid w:val="00256FFC"/>
    <w:rsid w:val="002630FD"/>
    <w:rsid w:val="0026519E"/>
    <w:rsid w:val="0026547E"/>
    <w:rsid w:val="002677BF"/>
    <w:rsid w:val="00274341"/>
    <w:rsid w:val="00275021"/>
    <w:rsid w:val="00291DD2"/>
    <w:rsid w:val="00297C26"/>
    <w:rsid w:val="002A64F4"/>
    <w:rsid w:val="002B2838"/>
    <w:rsid w:val="002C2157"/>
    <w:rsid w:val="002C3007"/>
    <w:rsid w:val="002E1C28"/>
    <w:rsid w:val="002E70D1"/>
    <w:rsid w:val="002F6157"/>
    <w:rsid w:val="00304A70"/>
    <w:rsid w:val="00307062"/>
    <w:rsid w:val="00310A4E"/>
    <w:rsid w:val="00316865"/>
    <w:rsid w:val="0033571C"/>
    <w:rsid w:val="00344D32"/>
    <w:rsid w:val="00347A45"/>
    <w:rsid w:val="00347BFC"/>
    <w:rsid w:val="00351CF0"/>
    <w:rsid w:val="003521A9"/>
    <w:rsid w:val="00362CC9"/>
    <w:rsid w:val="00373AA7"/>
    <w:rsid w:val="0037402B"/>
    <w:rsid w:val="003767C6"/>
    <w:rsid w:val="003814FC"/>
    <w:rsid w:val="00382D7E"/>
    <w:rsid w:val="0038537E"/>
    <w:rsid w:val="003A09D6"/>
    <w:rsid w:val="003A1F31"/>
    <w:rsid w:val="003A2090"/>
    <w:rsid w:val="003B2670"/>
    <w:rsid w:val="003B7CF4"/>
    <w:rsid w:val="003D4B1E"/>
    <w:rsid w:val="003E6FD0"/>
    <w:rsid w:val="003F772F"/>
    <w:rsid w:val="004154BA"/>
    <w:rsid w:val="00431CB3"/>
    <w:rsid w:val="00432F6D"/>
    <w:rsid w:val="00436074"/>
    <w:rsid w:val="0044051B"/>
    <w:rsid w:val="00440BD8"/>
    <w:rsid w:val="00455131"/>
    <w:rsid w:val="00465723"/>
    <w:rsid w:val="00477B96"/>
    <w:rsid w:val="00494A14"/>
    <w:rsid w:val="0049583E"/>
    <w:rsid w:val="0049655A"/>
    <w:rsid w:val="004A00F3"/>
    <w:rsid w:val="004A11B4"/>
    <w:rsid w:val="004A365F"/>
    <w:rsid w:val="004A3BFF"/>
    <w:rsid w:val="004A7ABA"/>
    <w:rsid w:val="004B5545"/>
    <w:rsid w:val="004B58EA"/>
    <w:rsid w:val="004B5C34"/>
    <w:rsid w:val="004C187D"/>
    <w:rsid w:val="004D3C10"/>
    <w:rsid w:val="004E1AAC"/>
    <w:rsid w:val="004E72C7"/>
    <w:rsid w:val="004F55ED"/>
    <w:rsid w:val="004F6E90"/>
    <w:rsid w:val="00500EE9"/>
    <w:rsid w:val="005039F6"/>
    <w:rsid w:val="00504250"/>
    <w:rsid w:val="0052283D"/>
    <w:rsid w:val="00531829"/>
    <w:rsid w:val="00532763"/>
    <w:rsid w:val="005518A9"/>
    <w:rsid w:val="00557AE1"/>
    <w:rsid w:val="005708E9"/>
    <w:rsid w:val="00574120"/>
    <w:rsid w:val="00574557"/>
    <w:rsid w:val="005932D6"/>
    <w:rsid w:val="00593678"/>
    <w:rsid w:val="005A5E67"/>
    <w:rsid w:val="005D1127"/>
    <w:rsid w:val="005D7D6C"/>
    <w:rsid w:val="005E06B6"/>
    <w:rsid w:val="005E1E52"/>
    <w:rsid w:val="005F16DF"/>
    <w:rsid w:val="006067E9"/>
    <w:rsid w:val="00612A6C"/>
    <w:rsid w:val="00612F65"/>
    <w:rsid w:val="00614D61"/>
    <w:rsid w:val="00632BC8"/>
    <w:rsid w:val="006355FB"/>
    <w:rsid w:val="00636DF3"/>
    <w:rsid w:val="006477B4"/>
    <w:rsid w:val="006545A9"/>
    <w:rsid w:val="00675AF2"/>
    <w:rsid w:val="006859F1"/>
    <w:rsid w:val="00690862"/>
    <w:rsid w:val="00691094"/>
    <w:rsid w:val="006B6469"/>
    <w:rsid w:val="006C09A5"/>
    <w:rsid w:val="006C3BB4"/>
    <w:rsid w:val="006E7464"/>
    <w:rsid w:val="00705D29"/>
    <w:rsid w:val="00710A83"/>
    <w:rsid w:val="00711E8E"/>
    <w:rsid w:val="00730231"/>
    <w:rsid w:val="00735E7B"/>
    <w:rsid w:val="0075125B"/>
    <w:rsid w:val="00761B62"/>
    <w:rsid w:val="00761E34"/>
    <w:rsid w:val="00764625"/>
    <w:rsid w:val="0077519A"/>
    <w:rsid w:val="007858FB"/>
    <w:rsid w:val="00787E30"/>
    <w:rsid w:val="00791E0C"/>
    <w:rsid w:val="007A6B72"/>
    <w:rsid w:val="007B6802"/>
    <w:rsid w:val="007C05AC"/>
    <w:rsid w:val="007C3CB7"/>
    <w:rsid w:val="007C6B69"/>
    <w:rsid w:val="007D6F71"/>
    <w:rsid w:val="007F5CAF"/>
    <w:rsid w:val="00800CAC"/>
    <w:rsid w:val="00804B55"/>
    <w:rsid w:val="00815034"/>
    <w:rsid w:val="00827FA3"/>
    <w:rsid w:val="0083445C"/>
    <w:rsid w:val="0085541B"/>
    <w:rsid w:val="0086782E"/>
    <w:rsid w:val="00870557"/>
    <w:rsid w:val="008832AB"/>
    <w:rsid w:val="008A1D4B"/>
    <w:rsid w:val="008A26D1"/>
    <w:rsid w:val="008B3C26"/>
    <w:rsid w:val="008C2FE4"/>
    <w:rsid w:val="008C49D9"/>
    <w:rsid w:val="008E5B1C"/>
    <w:rsid w:val="00904F5B"/>
    <w:rsid w:val="00910A8F"/>
    <w:rsid w:val="009163E1"/>
    <w:rsid w:val="00922792"/>
    <w:rsid w:val="00925A53"/>
    <w:rsid w:val="00934F51"/>
    <w:rsid w:val="00936B59"/>
    <w:rsid w:val="00940F41"/>
    <w:rsid w:val="00941597"/>
    <w:rsid w:val="00945385"/>
    <w:rsid w:val="00950758"/>
    <w:rsid w:val="00960E26"/>
    <w:rsid w:val="0096437E"/>
    <w:rsid w:val="00972088"/>
    <w:rsid w:val="0097299F"/>
    <w:rsid w:val="00976793"/>
    <w:rsid w:val="00992644"/>
    <w:rsid w:val="00997EE9"/>
    <w:rsid w:val="009A5868"/>
    <w:rsid w:val="009D4287"/>
    <w:rsid w:val="009D42B9"/>
    <w:rsid w:val="009D7E98"/>
    <w:rsid w:val="009E28C0"/>
    <w:rsid w:val="009E3A8D"/>
    <w:rsid w:val="009E4165"/>
    <w:rsid w:val="009E4ECA"/>
    <w:rsid w:val="009E6B6A"/>
    <w:rsid w:val="009E7B35"/>
    <w:rsid w:val="009F3063"/>
    <w:rsid w:val="00A02F4D"/>
    <w:rsid w:val="00A214CA"/>
    <w:rsid w:val="00A241D8"/>
    <w:rsid w:val="00A55A31"/>
    <w:rsid w:val="00A6263A"/>
    <w:rsid w:val="00A67708"/>
    <w:rsid w:val="00A67DBF"/>
    <w:rsid w:val="00A77685"/>
    <w:rsid w:val="00A8287A"/>
    <w:rsid w:val="00A8373D"/>
    <w:rsid w:val="00A953A1"/>
    <w:rsid w:val="00A954A4"/>
    <w:rsid w:val="00AA099C"/>
    <w:rsid w:val="00AA4EEA"/>
    <w:rsid w:val="00AB2F95"/>
    <w:rsid w:val="00AB4012"/>
    <w:rsid w:val="00AC62A4"/>
    <w:rsid w:val="00AD5F42"/>
    <w:rsid w:val="00B02D9A"/>
    <w:rsid w:val="00B06BFC"/>
    <w:rsid w:val="00B10507"/>
    <w:rsid w:val="00B25CBA"/>
    <w:rsid w:val="00B26AF6"/>
    <w:rsid w:val="00B31AD7"/>
    <w:rsid w:val="00B5188F"/>
    <w:rsid w:val="00B56758"/>
    <w:rsid w:val="00B570B7"/>
    <w:rsid w:val="00B66581"/>
    <w:rsid w:val="00B80A2E"/>
    <w:rsid w:val="00B87EF6"/>
    <w:rsid w:val="00B959C8"/>
    <w:rsid w:val="00BA67B6"/>
    <w:rsid w:val="00BC1E36"/>
    <w:rsid w:val="00BC3B79"/>
    <w:rsid w:val="00BC7C47"/>
    <w:rsid w:val="00BE0DE2"/>
    <w:rsid w:val="00BE3ABA"/>
    <w:rsid w:val="00C00096"/>
    <w:rsid w:val="00C10EB1"/>
    <w:rsid w:val="00C150E4"/>
    <w:rsid w:val="00C305EA"/>
    <w:rsid w:val="00C357AF"/>
    <w:rsid w:val="00C35A6B"/>
    <w:rsid w:val="00C4615A"/>
    <w:rsid w:val="00C46DFD"/>
    <w:rsid w:val="00C51CEE"/>
    <w:rsid w:val="00C604C3"/>
    <w:rsid w:val="00C6338D"/>
    <w:rsid w:val="00C72209"/>
    <w:rsid w:val="00C73E19"/>
    <w:rsid w:val="00C84507"/>
    <w:rsid w:val="00C9267B"/>
    <w:rsid w:val="00CA6874"/>
    <w:rsid w:val="00CB7252"/>
    <w:rsid w:val="00CB74CA"/>
    <w:rsid w:val="00CC4E97"/>
    <w:rsid w:val="00CC4FBF"/>
    <w:rsid w:val="00CD73EA"/>
    <w:rsid w:val="00CE04A6"/>
    <w:rsid w:val="00CF7468"/>
    <w:rsid w:val="00D0041A"/>
    <w:rsid w:val="00D21CB6"/>
    <w:rsid w:val="00D246BE"/>
    <w:rsid w:val="00D25C2E"/>
    <w:rsid w:val="00D31BC2"/>
    <w:rsid w:val="00D366D4"/>
    <w:rsid w:val="00D45511"/>
    <w:rsid w:val="00D54F61"/>
    <w:rsid w:val="00D576A4"/>
    <w:rsid w:val="00D60876"/>
    <w:rsid w:val="00D61883"/>
    <w:rsid w:val="00D6559E"/>
    <w:rsid w:val="00D87188"/>
    <w:rsid w:val="00D94544"/>
    <w:rsid w:val="00DB18E1"/>
    <w:rsid w:val="00DC280C"/>
    <w:rsid w:val="00DD1FB6"/>
    <w:rsid w:val="00DD2325"/>
    <w:rsid w:val="00DE4B96"/>
    <w:rsid w:val="00DE619B"/>
    <w:rsid w:val="00DF10EF"/>
    <w:rsid w:val="00DF3C97"/>
    <w:rsid w:val="00DF4860"/>
    <w:rsid w:val="00DF7E4D"/>
    <w:rsid w:val="00E2387C"/>
    <w:rsid w:val="00E27866"/>
    <w:rsid w:val="00E30D93"/>
    <w:rsid w:val="00E5042F"/>
    <w:rsid w:val="00E50EBF"/>
    <w:rsid w:val="00E76D6F"/>
    <w:rsid w:val="00E83A50"/>
    <w:rsid w:val="00E867A3"/>
    <w:rsid w:val="00E94EC6"/>
    <w:rsid w:val="00EA1382"/>
    <w:rsid w:val="00EA25BF"/>
    <w:rsid w:val="00EB496D"/>
    <w:rsid w:val="00EC2B02"/>
    <w:rsid w:val="00EC531A"/>
    <w:rsid w:val="00EE134C"/>
    <w:rsid w:val="00EE162E"/>
    <w:rsid w:val="00EE2E00"/>
    <w:rsid w:val="00EE4E73"/>
    <w:rsid w:val="00EF08FA"/>
    <w:rsid w:val="00EF6E59"/>
    <w:rsid w:val="00F01DA0"/>
    <w:rsid w:val="00F140AA"/>
    <w:rsid w:val="00F35161"/>
    <w:rsid w:val="00F42926"/>
    <w:rsid w:val="00F42E84"/>
    <w:rsid w:val="00F57B5C"/>
    <w:rsid w:val="00F661BD"/>
    <w:rsid w:val="00F67FC0"/>
    <w:rsid w:val="00F703E8"/>
    <w:rsid w:val="00F76B6E"/>
    <w:rsid w:val="00F856D8"/>
    <w:rsid w:val="00F927E7"/>
    <w:rsid w:val="00F9281F"/>
    <w:rsid w:val="00FA02F3"/>
    <w:rsid w:val="00FA27EB"/>
    <w:rsid w:val="00FB1BAD"/>
    <w:rsid w:val="00FB6408"/>
    <w:rsid w:val="00FC049C"/>
    <w:rsid w:val="00FC1E7C"/>
    <w:rsid w:val="00FD5BD9"/>
    <w:rsid w:val="00FE2BB0"/>
    <w:rsid w:val="00FE6042"/>
    <w:rsid w:val="00FF690A"/>
    <w:rsid w:val="00FF7D6F"/>
    <w:rsid w:val="07070EDD"/>
    <w:rsid w:val="07C525AE"/>
    <w:rsid w:val="09FF326D"/>
    <w:rsid w:val="0A055BA1"/>
    <w:rsid w:val="0E4F13F0"/>
    <w:rsid w:val="10DA43E6"/>
    <w:rsid w:val="11BA7F87"/>
    <w:rsid w:val="122F3529"/>
    <w:rsid w:val="14EE4F6C"/>
    <w:rsid w:val="15473AE5"/>
    <w:rsid w:val="171262F0"/>
    <w:rsid w:val="1B465D3A"/>
    <w:rsid w:val="1BFE4B3C"/>
    <w:rsid w:val="22A87A5F"/>
    <w:rsid w:val="24120966"/>
    <w:rsid w:val="24496A68"/>
    <w:rsid w:val="249C76D5"/>
    <w:rsid w:val="24D05C3C"/>
    <w:rsid w:val="24D82C65"/>
    <w:rsid w:val="25B51A01"/>
    <w:rsid w:val="2AE93C56"/>
    <w:rsid w:val="2C217B32"/>
    <w:rsid w:val="2C51159B"/>
    <w:rsid w:val="2CEA18A7"/>
    <w:rsid w:val="30DD36E0"/>
    <w:rsid w:val="34E67EED"/>
    <w:rsid w:val="35AB75D4"/>
    <w:rsid w:val="39113ACA"/>
    <w:rsid w:val="3B5E490D"/>
    <w:rsid w:val="3CA27CB0"/>
    <w:rsid w:val="3E0B79C0"/>
    <w:rsid w:val="3FCC233D"/>
    <w:rsid w:val="3FCD1A2C"/>
    <w:rsid w:val="400041A0"/>
    <w:rsid w:val="409638B9"/>
    <w:rsid w:val="428C5B28"/>
    <w:rsid w:val="4325788D"/>
    <w:rsid w:val="4398420F"/>
    <w:rsid w:val="45605B3C"/>
    <w:rsid w:val="49A07F3E"/>
    <w:rsid w:val="4A5623EF"/>
    <w:rsid w:val="4A73467D"/>
    <w:rsid w:val="4AF928CD"/>
    <w:rsid w:val="4FB03FEC"/>
    <w:rsid w:val="50B851F1"/>
    <w:rsid w:val="58521E3C"/>
    <w:rsid w:val="58D817E6"/>
    <w:rsid w:val="59EF3BD2"/>
    <w:rsid w:val="5A5E4A91"/>
    <w:rsid w:val="5BB604F1"/>
    <w:rsid w:val="6187691D"/>
    <w:rsid w:val="62F236D1"/>
    <w:rsid w:val="638D0903"/>
    <w:rsid w:val="63C11364"/>
    <w:rsid w:val="63F45D2C"/>
    <w:rsid w:val="640224B7"/>
    <w:rsid w:val="673D5673"/>
    <w:rsid w:val="6925282D"/>
    <w:rsid w:val="6FB03BF4"/>
    <w:rsid w:val="7073520F"/>
    <w:rsid w:val="71AB66EE"/>
    <w:rsid w:val="74366242"/>
    <w:rsid w:val="74B01EAD"/>
    <w:rsid w:val="754A353C"/>
    <w:rsid w:val="75D24B29"/>
    <w:rsid w:val="77E629A3"/>
    <w:rsid w:val="7902661E"/>
    <w:rsid w:val="79A42F5C"/>
    <w:rsid w:val="79AD1FFF"/>
    <w:rsid w:val="7B580C1C"/>
    <w:rsid w:val="7B935E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nhideWhenUsed="0" w:uiPriority="0"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note text"/>
    <w:basedOn w:val="1"/>
    <w:link w:val="12"/>
    <w:qFormat/>
    <w:uiPriority w:val="0"/>
    <w:pPr>
      <w:snapToGrid w:val="0"/>
      <w:jc w:val="left"/>
    </w:pPr>
  </w:style>
  <w:style w:type="paragraph" w:styleId="3">
    <w:name w:val="Balloon Text"/>
    <w:basedOn w:val="1"/>
    <w:link w:val="11"/>
    <w:semiHidden/>
    <w:unhideWhenUsed/>
    <w:qFormat/>
    <w:uiPriority w:val="0"/>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9">
    <w:name w:val="Strong"/>
    <w:basedOn w:val="8"/>
    <w:qFormat/>
    <w:uiPriority w:val="0"/>
    <w:rPr>
      <w:b/>
    </w:rPr>
  </w:style>
  <w:style w:type="character" w:styleId="10">
    <w:name w:val="page number"/>
    <w:basedOn w:val="8"/>
    <w:qFormat/>
    <w:uiPriority w:val="0"/>
  </w:style>
  <w:style w:type="character" w:customStyle="1" w:styleId="11">
    <w:name w:val="批注框文本 字符"/>
    <w:basedOn w:val="8"/>
    <w:link w:val="3"/>
    <w:semiHidden/>
    <w:qFormat/>
    <w:uiPriority w:val="0"/>
    <w:rPr>
      <w:rFonts w:ascii="Times New Roman" w:hAnsi="Times New Roman" w:eastAsia="宋体"/>
      <w:kern w:val="2"/>
      <w:sz w:val="18"/>
      <w:szCs w:val="18"/>
    </w:rPr>
  </w:style>
  <w:style w:type="character" w:customStyle="1" w:styleId="12">
    <w:name w:val="脚注文本 字符"/>
    <w:basedOn w:val="8"/>
    <w:link w:val="2"/>
    <w:qFormat/>
    <w:uiPriority w:val="0"/>
    <w:rPr>
      <w:kern w:val="2"/>
      <w:sz w:val="21"/>
      <w:szCs w:val="24"/>
    </w:rPr>
  </w:style>
  <w:style w:type="character" w:customStyle="1" w:styleId="13">
    <w:name w:val="页脚 字符"/>
    <w:basedOn w:val="8"/>
    <w:link w:val="4"/>
    <w:qFormat/>
    <w:uiPriority w:val="99"/>
    <w:rPr>
      <w:kern w:val="2"/>
      <w:sz w:val="18"/>
      <w:szCs w:val="18"/>
    </w:rPr>
  </w:style>
  <w:style w:type="paragraph" w:styleId="14">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27</Pages>
  <Words>2516</Words>
  <Characters>14342</Characters>
  <Lines>119</Lines>
  <Paragraphs>33</Paragraphs>
  <TotalTime>25</TotalTime>
  <ScaleCrop>false</ScaleCrop>
  <LinksUpToDate>false</LinksUpToDate>
  <CharactersWithSpaces>16825</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2021-02-08T01:45:00Z</dcterms:created>
  <dc:creator>Administrator</dc:creator>
  <cp:lastModifiedBy>Administrator</cp:lastModifiedBy>
  <cp:lastPrinted>2021-02-05T01:00:00Z</cp:lastPrinted>
  <dcterms:modified xsi:type="dcterms:W3CDTF">2021-04-27T03:38:14Z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DE767630DFD942EC9DA626ADCA8D9CB9</vt:lpwstr>
  </property>
</Properties>
</file>