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2" w:firstLineChars="100"/>
        <w:rPr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98"/>
          <w:sz w:val="36"/>
          <w:szCs w:val="36"/>
        </w:rPr>
        <w:t>秭归县2022年度急需紧缺人才引进体检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人员名单</w:t>
      </w:r>
    </w:p>
    <w:p>
      <w:pPr>
        <w:ind w:firstLine="180" w:firstLineChars="50"/>
        <w:rPr>
          <w:sz w:val="36"/>
          <w:szCs w:val="36"/>
        </w:rPr>
      </w:pPr>
    </w:p>
    <w:tbl>
      <w:tblPr>
        <w:tblStyle w:val="2"/>
        <w:tblW w:w="8426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2078"/>
        <w:gridCol w:w="1612"/>
        <w:gridCol w:w="1978"/>
        <w:gridCol w:w="1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  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202201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张建华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西医医师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202202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颜  聪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西医医师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202205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魏利军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西医医师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202208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何月新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药  学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202210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王  建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康复科中医医师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202211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张杰成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急重症西医医师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202212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杨  军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泌外科西医医师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202213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周  琪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公共卫生管理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15A44"/>
    <w:rsid w:val="6F51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2022-07-12T09:40:00Z</dcterms:created>
  <dc:creator>Administrator</dc:creator>
  <cp:lastModifiedBy>Administrator</cp:lastModifiedBy>
  <dcterms:modified xsi:type="dcterms:W3CDTF">2022-07-12T09:41:18Z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